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34A70A6C" w14:textId="77777777" w:rsidTr="0041512A">
        <w:tc>
          <w:tcPr>
            <w:tcW w:w="2263" w:type="dxa"/>
          </w:tcPr>
          <w:p w14:paraId="25751A2B" w14:textId="70E50380" w:rsidR="0041512A" w:rsidRDefault="00A91FD5" w:rsidP="0041512A">
            <w:pPr>
              <w:spacing w:before="120" w:after="120"/>
            </w:pPr>
            <w:r>
              <w:rPr>
                <w:color w:val="auto"/>
                <w:u w:val="none"/>
              </w:rPr>
              <w:fldChar w:fldCharType="begin"/>
            </w:r>
            <w:r>
              <w:instrText>HYPERLINK "../PROCEDIMENTI.docx"</w:instrText>
            </w:r>
            <w:r>
              <w:rPr>
                <w:color w:val="auto"/>
                <w:u w:val="none"/>
              </w:rPr>
              <w:fldChar w:fldCharType="separate"/>
            </w:r>
            <w:r w:rsidR="000419A3" w:rsidRPr="00697079">
              <w:rPr>
                <w:rStyle w:val="Collegamentoipertestuale"/>
                <w:b/>
              </w:rPr>
              <w:t>Procedimenti</w:t>
            </w:r>
            <w:r>
              <w:rPr>
                <w:rStyle w:val="Collegamentoipertestuale"/>
                <w:b/>
              </w:rPr>
              <w:fldChar w:fldCharType="end"/>
            </w:r>
          </w:p>
        </w:tc>
        <w:tc>
          <w:tcPr>
            <w:tcW w:w="5387" w:type="dxa"/>
          </w:tcPr>
          <w:p w14:paraId="1879BC44" w14:textId="77777777" w:rsidR="0041512A" w:rsidRDefault="00F67151" w:rsidP="0041512A">
            <w:pPr>
              <w:jc w:val="center"/>
            </w:pPr>
            <w:r>
              <w:rPr>
                <w:b/>
                <w:color w:val="006600"/>
                <w:sz w:val="40"/>
                <w:szCs w:val="40"/>
                <w:u w:val="none"/>
              </w:rPr>
              <w:t>Vendita prodotti ingombranti</w:t>
            </w:r>
          </w:p>
        </w:tc>
        <w:tc>
          <w:tcPr>
            <w:tcW w:w="1979" w:type="dxa"/>
          </w:tcPr>
          <w:p w14:paraId="1138371D" w14:textId="1C618425" w:rsidR="0041512A" w:rsidRPr="0041512A" w:rsidRDefault="00C87870" w:rsidP="0041512A">
            <w:pPr>
              <w:spacing w:before="120" w:after="120"/>
              <w:jc w:val="center"/>
              <w:rPr>
                <w:b/>
              </w:rPr>
            </w:pPr>
            <w:hyperlink r:id="rId5" w:history="1">
              <w:r w:rsidRPr="002F49AE">
                <w:rPr>
                  <w:rStyle w:val="Collegamentoipertestuale"/>
                  <w:b/>
                </w:rPr>
                <w:t>Contatti</w:t>
              </w:r>
            </w:hyperlink>
          </w:p>
        </w:tc>
      </w:tr>
      <w:tr w:rsidR="00342D58" w14:paraId="65D2C301" w14:textId="77777777" w:rsidTr="0041512A">
        <w:tc>
          <w:tcPr>
            <w:tcW w:w="9629" w:type="dxa"/>
            <w:gridSpan w:val="3"/>
          </w:tcPr>
          <w:p w14:paraId="074799E2" w14:textId="675853F0" w:rsidR="00F33A15" w:rsidRPr="009371F3" w:rsidRDefault="009371F3" w:rsidP="00F312D0">
            <w:pPr>
              <w:spacing w:before="240" w:after="120"/>
              <w:ind w:left="164"/>
              <w:rPr>
                <w:rStyle w:val="Collegamentoipertestuale"/>
                <w:b/>
                <w:color w:val="C00000"/>
                <w:u w:val="none"/>
              </w:rPr>
            </w:pPr>
            <w:r w:rsidRPr="009371F3">
              <w:rPr>
                <w:rStyle w:val="Collegamentoipertestuale"/>
                <w:b/>
                <w:color w:val="C00000"/>
                <w:u w:val="none"/>
              </w:rPr>
              <w:t>Definizione</w:t>
            </w:r>
          </w:p>
          <w:p w14:paraId="60E71741" w14:textId="77777777" w:rsidR="00F67151" w:rsidRPr="00F67151" w:rsidRDefault="00F67151" w:rsidP="00F67151">
            <w:pPr>
              <w:tabs>
                <w:tab w:val="left" w:pos="9094"/>
              </w:tabs>
              <w:autoSpaceDE w:val="0"/>
              <w:autoSpaceDN w:val="0"/>
              <w:adjustRightInd w:val="0"/>
              <w:ind w:left="164" w:right="312"/>
              <w:jc w:val="both"/>
              <w:rPr>
                <w:color w:val="auto"/>
                <w:sz w:val="20"/>
                <w:szCs w:val="20"/>
                <w:u w:val="none"/>
              </w:rPr>
            </w:pPr>
            <w:r w:rsidRPr="009371F3">
              <w:rPr>
                <w:b/>
                <w:bCs/>
                <w:color w:val="auto"/>
                <w:sz w:val="20"/>
                <w:szCs w:val="20"/>
                <w:u w:val="none"/>
              </w:rPr>
              <w:t>Al fine della possibile compatibilità insediativa</w:t>
            </w:r>
            <w:r w:rsidRPr="00F67151">
              <w:rPr>
                <w:color w:val="auto"/>
                <w:sz w:val="20"/>
                <w:szCs w:val="20"/>
                <w:u w:val="none"/>
              </w:rPr>
              <w:t xml:space="preserve">, e su esplicita richiesta da parte degli interessati, la superficie di vendita degli esercizi che hanno per oggetto </w:t>
            </w:r>
            <w:r w:rsidRPr="00F67151">
              <w:rPr>
                <w:rFonts w:ascii="Arial,Italic" w:hAnsi="Arial,Italic" w:cs="Arial,Italic"/>
                <w:i/>
                <w:iCs/>
                <w:color w:val="auto"/>
                <w:sz w:val="20"/>
                <w:szCs w:val="20"/>
                <w:u w:val="none"/>
              </w:rPr>
              <w:t xml:space="preserve">esclusivamente </w:t>
            </w:r>
            <w:r w:rsidRPr="00F67151">
              <w:rPr>
                <w:color w:val="auto"/>
                <w:sz w:val="20"/>
                <w:szCs w:val="20"/>
                <w:u w:val="none"/>
              </w:rPr>
              <w:t>la</w:t>
            </w:r>
            <w:r>
              <w:rPr>
                <w:color w:val="auto"/>
                <w:sz w:val="20"/>
                <w:szCs w:val="20"/>
                <w:u w:val="none"/>
              </w:rPr>
              <w:t xml:space="preserve"> </w:t>
            </w:r>
            <w:r w:rsidRPr="00F67151">
              <w:rPr>
                <w:color w:val="auto"/>
                <w:sz w:val="20"/>
                <w:szCs w:val="20"/>
                <w:u w:val="none"/>
              </w:rPr>
              <w:t>vendita di merci ingombranti, non immediatamente amovibili ed a consegna differita</w:t>
            </w:r>
            <w:r>
              <w:rPr>
                <w:color w:val="auto"/>
                <w:sz w:val="20"/>
                <w:szCs w:val="20"/>
                <w:u w:val="none"/>
              </w:rPr>
              <w:t xml:space="preserve"> </w:t>
            </w:r>
            <w:r w:rsidRPr="00F67151">
              <w:rPr>
                <w:color w:val="auto"/>
                <w:sz w:val="20"/>
                <w:szCs w:val="20"/>
                <w:u w:val="none"/>
              </w:rPr>
              <w:t>(mobili, autoveicoli, legnami, materiale edile, e simili) è computata nella misura di 1/8 della</w:t>
            </w:r>
            <w:r>
              <w:rPr>
                <w:color w:val="auto"/>
                <w:sz w:val="20"/>
                <w:szCs w:val="20"/>
                <w:u w:val="none"/>
              </w:rPr>
              <w:t xml:space="preserve"> </w:t>
            </w:r>
            <w:r w:rsidRPr="00F67151">
              <w:rPr>
                <w:color w:val="auto"/>
                <w:sz w:val="20"/>
                <w:szCs w:val="20"/>
                <w:u w:val="none"/>
              </w:rPr>
              <w:t>Superficie Lorda di Pavimentazione (slp) e comunque nel rispetto della superficie</w:t>
            </w:r>
            <w:r>
              <w:rPr>
                <w:color w:val="auto"/>
                <w:sz w:val="20"/>
                <w:szCs w:val="20"/>
                <w:u w:val="none"/>
              </w:rPr>
              <w:t xml:space="preserve"> </w:t>
            </w:r>
            <w:r w:rsidRPr="00F67151">
              <w:rPr>
                <w:color w:val="auto"/>
                <w:sz w:val="20"/>
                <w:szCs w:val="20"/>
                <w:u w:val="none"/>
              </w:rPr>
              <w:t>commerciale insediabile e prevista dalla componente economica-commerciale del PGT e</w:t>
            </w:r>
            <w:r>
              <w:rPr>
                <w:color w:val="auto"/>
                <w:sz w:val="20"/>
                <w:szCs w:val="20"/>
                <w:u w:val="none"/>
              </w:rPr>
              <w:t xml:space="preserve"> </w:t>
            </w:r>
            <w:r w:rsidRPr="00F67151">
              <w:rPr>
                <w:color w:val="auto"/>
                <w:sz w:val="20"/>
                <w:szCs w:val="20"/>
                <w:u w:val="none"/>
              </w:rPr>
              <w:t>corrispondendo gli standard a parcheggio con riferimento alla slp dell’insediamento.</w:t>
            </w:r>
          </w:p>
          <w:p w14:paraId="1C73F7E3" w14:textId="77777777" w:rsidR="00F67151" w:rsidRPr="00F67151" w:rsidRDefault="00F67151" w:rsidP="00F67151">
            <w:pPr>
              <w:autoSpaceDE w:val="0"/>
              <w:autoSpaceDN w:val="0"/>
              <w:adjustRightInd w:val="0"/>
              <w:ind w:left="164" w:right="312"/>
              <w:jc w:val="both"/>
              <w:rPr>
                <w:color w:val="auto"/>
                <w:sz w:val="20"/>
                <w:szCs w:val="20"/>
                <w:u w:val="none"/>
              </w:rPr>
            </w:pPr>
            <w:r w:rsidRPr="00F67151">
              <w:rPr>
                <w:color w:val="auto"/>
                <w:sz w:val="20"/>
                <w:szCs w:val="20"/>
                <w:u w:val="none"/>
              </w:rPr>
              <w:t>Detta possibilità può essere attivata anche in strutture di vendita organizzate in forma</w:t>
            </w:r>
            <w:r>
              <w:rPr>
                <w:color w:val="auto"/>
                <w:sz w:val="20"/>
                <w:szCs w:val="20"/>
                <w:u w:val="none"/>
              </w:rPr>
              <w:t xml:space="preserve"> </w:t>
            </w:r>
            <w:r w:rsidRPr="00F67151">
              <w:rPr>
                <w:color w:val="auto"/>
                <w:sz w:val="20"/>
                <w:szCs w:val="20"/>
                <w:u w:val="none"/>
              </w:rPr>
              <w:t>unitaria e/o per singoli reparti di vendita. In quest’ultimo caso, la superficie dichiarata non</w:t>
            </w:r>
            <w:r>
              <w:rPr>
                <w:color w:val="auto"/>
                <w:sz w:val="20"/>
                <w:szCs w:val="20"/>
                <w:u w:val="none"/>
              </w:rPr>
              <w:t xml:space="preserve"> </w:t>
            </w:r>
            <w:r w:rsidRPr="00F67151">
              <w:rPr>
                <w:color w:val="auto"/>
                <w:sz w:val="20"/>
                <w:szCs w:val="20"/>
                <w:u w:val="none"/>
              </w:rPr>
              <w:t>può accogliere altri prodotti neanche in modo espositivo.</w:t>
            </w:r>
          </w:p>
          <w:p w14:paraId="27F98467" w14:textId="77777777" w:rsidR="00F67151" w:rsidRPr="00F67151" w:rsidRDefault="00F67151" w:rsidP="00F67151">
            <w:pPr>
              <w:autoSpaceDE w:val="0"/>
              <w:autoSpaceDN w:val="0"/>
              <w:adjustRightInd w:val="0"/>
              <w:ind w:left="164" w:right="312"/>
              <w:jc w:val="both"/>
              <w:rPr>
                <w:color w:val="auto"/>
                <w:sz w:val="20"/>
                <w:szCs w:val="20"/>
                <w:u w:val="none"/>
              </w:rPr>
            </w:pPr>
            <w:r w:rsidRPr="00F67151">
              <w:rPr>
                <w:color w:val="auto"/>
                <w:sz w:val="20"/>
                <w:szCs w:val="20"/>
                <w:u w:val="none"/>
              </w:rPr>
              <w:t xml:space="preserve">Nei </w:t>
            </w:r>
            <w:proofErr w:type="gramStart"/>
            <w:r w:rsidRPr="00F67151">
              <w:rPr>
                <w:color w:val="auto"/>
                <w:sz w:val="20"/>
                <w:szCs w:val="20"/>
                <w:u w:val="none"/>
              </w:rPr>
              <w:t>predetti</w:t>
            </w:r>
            <w:proofErr w:type="gramEnd"/>
            <w:r w:rsidRPr="00F67151">
              <w:rPr>
                <w:color w:val="auto"/>
                <w:sz w:val="20"/>
                <w:szCs w:val="20"/>
                <w:u w:val="none"/>
              </w:rPr>
              <w:t xml:space="preserve"> esercizi non possono essere introdotte o vendute merci diverse da quelle aventi</w:t>
            </w:r>
            <w:r>
              <w:rPr>
                <w:color w:val="auto"/>
                <w:sz w:val="20"/>
                <w:szCs w:val="20"/>
                <w:u w:val="none"/>
              </w:rPr>
              <w:t xml:space="preserve"> </w:t>
            </w:r>
            <w:r w:rsidRPr="00F67151">
              <w:rPr>
                <w:color w:val="auto"/>
                <w:sz w:val="20"/>
                <w:szCs w:val="20"/>
                <w:u w:val="none"/>
              </w:rPr>
              <w:t>le caratteristiche sopra tassativamente indicate. Nei casi di vendita non autorizzata di merci</w:t>
            </w:r>
            <w:r>
              <w:rPr>
                <w:color w:val="auto"/>
                <w:sz w:val="20"/>
                <w:szCs w:val="20"/>
                <w:u w:val="none"/>
              </w:rPr>
              <w:t xml:space="preserve"> </w:t>
            </w:r>
            <w:r w:rsidRPr="00F67151">
              <w:rPr>
                <w:color w:val="auto"/>
                <w:sz w:val="20"/>
                <w:szCs w:val="20"/>
                <w:u w:val="none"/>
              </w:rPr>
              <w:t xml:space="preserve">diverse, è applicata la sanzione di cui all'art. 22 del </w:t>
            </w:r>
            <w:proofErr w:type="spellStart"/>
            <w:r w:rsidRPr="00F67151">
              <w:rPr>
                <w:color w:val="auto"/>
                <w:sz w:val="20"/>
                <w:szCs w:val="20"/>
                <w:u w:val="none"/>
              </w:rPr>
              <w:t>DLgs</w:t>
            </w:r>
            <w:proofErr w:type="spellEnd"/>
            <w:r w:rsidRPr="00F67151">
              <w:rPr>
                <w:color w:val="auto"/>
                <w:sz w:val="20"/>
                <w:szCs w:val="20"/>
                <w:u w:val="none"/>
              </w:rPr>
              <w:t xml:space="preserve"> 114/98.</w:t>
            </w:r>
          </w:p>
          <w:p w14:paraId="2A591B17" w14:textId="56A11256" w:rsidR="000E4B7E" w:rsidRPr="00F67151" w:rsidRDefault="00F67151" w:rsidP="00F67151">
            <w:pPr>
              <w:autoSpaceDE w:val="0"/>
              <w:autoSpaceDN w:val="0"/>
              <w:adjustRightInd w:val="0"/>
              <w:ind w:left="164" w:right="312"/>
              <w:jc w:val="both"/>
              <w:rPr>
                <w:b/>
                <w:color w:val="auto"/>
                <w:sz w:val="20"/>
                <w:szCs w:val="20"/>
                <w:u w:val="none"/>
              </w:rPr>
            </w:pPr>
            <w:r w:rsidRPr="00F67151">
              <w:rPr>
                <w:color w:val="auto"/>
                <w:sz w:val="20"/>
                <w:szCs w:val="20"/>
                <w:u w:val="none"/>
              </w:rPr>
              <w:t>Indipendentemente dalla superficie di vendita risultante dall’abbattimento, ancorché</w:t>
            </w:r>
            <w:r>
              <w:rPr>
                <w:color w:val="auto"/>
                <w:sz w:val="20"/>
                <w:szCs w:val="20"/>
                <w:u w:val="none"/>
              </w:rPr>
              <w:t xml:space="preserve"> </w:t>
            </w:r>
            <w:r w:rsidRPr="00F67151">
              <w:rPr>
                <w:color w:val="auto"/>
                <w:sz w:val="20"/>
                <w:szCs w:val="20"/>
                <w:u w:val="none"/>
              </w:rPr>
              <w:t>rientrante nella dimensione dei negozi di vicinato e non esclusa dalla componente</w:t>
            </w:r>
            <w:r>
              <w:rPr>
                <w:color w:val="auto"/>
                <w:sz w:val="20"/>
                <w:szCs w:val="20"/>
                <w:u w:val="none"/>
              </w:rPr>
              <w:t xml:space="preserve"> </w:t>
            </w:r>
            <w:r w:rsidRPr="00F67151">
              <w:rPr>
                <w:color w:val="auto"/>
                <w:sz w:val="20"/>
                <w:szCs w:val="20"/>
                <w:u w:val="none"/>
              </w:rPr>
              <w:t>economica-commerciale del PGT, la struttura commerciale resta comunque una media</w:t>
            </w:r>
            <w:r>
              <w:rPr>
                <w:color w:val="auto"/>
                <w:sz w:val="20"/>
                <w:szCs w:val="20"/>
                <w:u w:val="none"/>
              </w:rPr>
              <w:t xml:space="preserve"> </w:t>
            </w:r>
            <w:r w:rsidRPr="00F67151">
              <w:rPr>
                <w:color w:val="auto"/>
                <w:sz w:val="20"/>
                <w:szCs w:val="20"/>
                <w:u w:val="none"/>
              </w:rPr>
              <w:t xml:space="preserve">struttura di vendita classificata nel minimo di </w:t>
            </w:r>
            <w:r w:rsidR="00AC7561">
              <w:rPr>
                <w:color w:val="auto"/>
                <w:sz w:val="20"/>
                <w:szCs w:val="20"/>
                <w:u w:val="none"/>
              </w:rPr>
              <w:t>1</w:t>
            </w:r>
            <w:r w:rsidRPr="00F67151">
              <w:rPr>
                <w:color w:val="auto"/>
                <w:sz w:val="20"/>
                <w:szCs w:val="20"/>
                <w:u w:val="none"/>
              </w:rPr>
              <w:t>51 mq. di superficie. La presente disposizione</w:t>
            </w:r>
            <w:r>
              <w:rPr>
                <w:color w:val="auto"/>
                <w:sz w:val="20"/>
                <w:szCs w:val="20"/>
                <w:u w:val="none"/>
              </w:rPr>
              <w:t xml:space="preserve"> </w:t>
            </w:r>
            <w:r w:rsidRPr="00F67151">
              <w:rPr>
                <w:color w:val="auto"/>
                <w:sz w:val="20"/>
                <w:szCs w:val="20"/>
                <w:u w:val="none"/>
              </w:rPr>
              <w:t>non si applica all’abbattimento della superficie dei singoli reparti di vendita di cui al secondo</w:t>
            </w:r>
            <w:r>
              <w:rPr>
                <w:color w:val="auto"/>
                <w:sz w:val="20"/>
                <w:szCs w:val="20"/>
                <w:u w:val="none"/>
              </w:rPr>
              <w:t xml:space="preserve"> </w:t>
            </w:r>
            <w:r w:rsidRPr="00F67151">
              <w:rPr>
                <w:color w:val="auto"/>
                <w:sz w:val="20"/>
                <w:szCs w:val="20"/>
                <w:u w:val="none"/>
              </w:rPr>
              <w:t>periodo.</w:t>
            </w:r>
          </w:p>
          <w:p w14:paraId="3771199F" w14:textId="77777777" w:rsidR="00F67151" w:rsidRDefault="00F67151" w:rsidP="00F67151">
            <w:pPr>
              <w:ind w:left="164"/>
              <w:rPr>
                <w:rStyle w:val="Collegamentoipertestuale"/>
                <w:b/>
                <w:color w:val="C00000"/>
                <w:sz w:val="24"/>
                <w:szCs w:val="24"/>
                <w:u w:val="none"/>
              </w:rPr>
            </w:pPr>
          </w:p>
          <w:p w14:paraId="5A6262B1" w14:textId="77777777" w:rsidR="009371F3" w:rsidRPr="00E24756" w:rsidRDefault="009371F3" w:rsidP="009371F3">
            <w:pPr>
              <w:spacing w:after="120"/>
              <w:ind w:left="164"/>
              <w:rPr>
                <w:rStyle w:val="Collegamentoipertestuale"/>
                <w:b/>
                <w:color w:val="C00000"/>
                <w:u w:val="none"/>
              </w:rPr>
            </w:pPr>
            <w:r w:rsidRPr="00E24756">
              <w:rPr>
                <w:rStyle w:val="Collegamentoipertestuale"/>
                <w:b/>
                <w:color w:val="C00000"/>
                <w:u w:val="none"/>
              </w:rPr>
              <w:t>Requisiti aggiunti</w:t>
            </w:r>
          </w:p>
          <w:p w14:paraId="68B8B633" w14:textId="3F724599" w:rsidR="009371F3" w:rsidRDefault="009371F3" w:rsidP="009371F3">
            <w:pPr>
              <w:autoSpaceDE w:val="0"/>
              <w:autoSpaceDN w:val="0"/>
              <w:adjustRightInd w:val="0"/>
              <w:spacing w:after="120"/>
              <w:ind w:left="164" w:right="312"/>
              <w:jc w:val="both"/>
              <w:rPr>
                <w:color w:val="000000"/>
                <w:sz w:val="20"/>
                <w:szCs w:val="20"/>
                <w:u w:val="none"/>
              </w:rPr>
            </w:pPr>
            <w:r>
              <w:rPr>
                <w:color w:val="000000"/>
                <w:sz w:val="20"/>
                <w:szCs w:val="20"/>
                <w:u w:val="none"/>
              </w:rPr>
              <w:t xml:space="preserve">L’attività può essere esercitata in negozi di </w:t>
            </w:r>
            <w:hyperlink r:id="rId6" w:history="1">
              <w:r w:rsidRPr="00E336B3">
                <w:rPr>
                  <w:rStyle w:val="Collegamentoipertestuale"/>
                  <w:b/>
                  <w:bCs/>
                  <w:sz w:val="20"/>
                  <w:szCs w:val="20"/>
                </w:rPr>
                <w:t>MSV</w:t>
              </w:r>
            </w:hyperlink>
            <w:r w:rsidRPr="00E336B3">
              <w:rPr>
                <w:b/>
                <w:bCs/>
                <w:color w:val="0000FF"/>
                <w:sz w:val="20"/>
                <w:szCs w:val="20"/>
                <w:u w:val="none"/>
              </w:rPr>
              <w:t xml:space="preserve"> </w:t>
            </w:r>
            <w:r>
              <w:rPr>
                <w:color w:val="000000"/>
                <w:sz w:val="20"/>
                <w:szCs w:val="20"/>
                <w:u w:val="none"/>
              </w:rPr>
              <w:t>osservando i prescritti requisiti soggettivi, oggettivi e di programmazione, ai quali si aggiungono i seguenti:</w:t>
            </w:r>
          </w:p>
          <w:p w14:paraId="173E216E" w14:textId="5F981E1B" w:rsidR="00F67151" w:rsidRPr="00F67151" w:rsidRDefault="001736F1" w:rsidP="009371F3">
            <w:pPr>
              <w:pStyle w:val="Paragrafoelenco"/>
              <w:spacing w:after="120"/>
              <w:ind w:left="164" w:right="312"/>
              <w:jc w:val="both"/>
              <w:rPr>
                <w:color w:val="000000"/>
                <w:sz w:val="20"/>
                <w:szCs w:val="20"/>
                <w:u w:val="none"/>
              </w:rPr>
            </w:pPr>
            <w:r w:rsidRPr="009371F3">
              <w:rPr>
                <w:rStyle w:val="Collegamentoipertestuale"/>
                <w:b/>
                <w:bCs/>
                <w:i/>
                <w:iCs/>
                <w:color w:val="C00000"/>
                <w:sz w:val="22"/>
                <w:szCs w:val="22"/>
                <w:u w:val="none"/>
              </w:rPr>
              <w:t>Ammissibilità insediativa</w:t>
            </w:r>
            <w:r w:rsidR="009371F3">
              <w:rPr>
                <w:rStyle w:val="Collegamentoipertestuale"/>
                <w:b/>
                <w:bCs/>
                <w:i/>
                <w:iCs/>
                <w:color w:val="C00000"/>
                <w:sz w:val="22"/>
                <w:szCs w:val="22"/>
                <w:u w:val="none"/>
              </w:rPr>
              <w:t xml:space="preserve"> - </w:t>
            </w:r>
            <w:r w:rsidR="00F67151" w:rsidRPr="00F67151">
              <w:rPr>
                <w:color w:val="000000"/>
                <w:sz w:val="20"/>
                <w:szCs w:val="20"/>
                <w:u w:val="none"/>
              </w:rPr>
              <w:t>Ponendo attenzione alle esclusioni indicate nelle singole Aree di programmazione relative</w:t>
            </w:r>
            <w:r w:rsidR="00F67151">
              <w:rPr>
                <w:color w:val="000000"/>
                <w:sz w:val="20"/>
                <w:szCs w:val="20"/>
                <w:u w:val="none"/>
              </w:rPr>
              <w:t xml:space="preserve"> </w:t>
            </w:r>
            <w:r w:rsidR="00F67151" w:rsidRPr="00F67151">
              <w:rPr>
                <w:color w:val="000000"/>
                <w:sz w:val="20"/>
                <w:szCs w:val="20"/>
                <w:u w:val="none"/>
              </w:rPr>
              <w:t>all’insediamento delle MSV, alle tipologie merceologiche dequalificanti e all’esercizio congiunto del</w:t>
            </w:r>
            <w:r w:rsidR="00F67151">
              <w:rPr>
                <w:color w:val="000000"/>
                <w:sz w:val="20"/>
                <w:szCs w:val="20"/>
                <w:u w:val="none"/>
              </w:rPr>
              <w:t xml:space="preserve"> </w:t>
            </w:r>
            <w:r w:rsidR="00F67151" w:rsidRPr="00F67151">
              <w:rPr>
                <w:color w:val="000000"/>
                <w:sz w:val="20"/>
                <w:szCs w:val="20"/>
                <w:u w:val="none"/>
              </w:rPr>
              <w:t xml:space="preserve">commercio all’ingrosso ed al dettaglio per specifici prodotti, le attività di vendita al dettaglio </w:t>
            </w:r>
            <w:r w:rsidR="00F67151" w:rsidRPr="00F67151">
              <w:rPr>
                <w:rFonts w:ascii="Arial,Bold" w:hAnsi="Arial,Bold" w:cs="Arial,Bold"/>
                <w:b/>
                <w:bCs/>
                <w:color w:val="000000"/>
                <w:sz w:val="20"/>
                <w:szCs w:val="20"/>
                <w:u w:val="none"/>
              </w:rPr>
              <w:t>di</w:t>
            </w:r>
            <w:r w:rsidR="00F67151">
              <w:rPr>
                <w:rFonts w:ascii="Arial,Bold" w:hAnsi="Arial,Bold" w:cs="Arial,Bold"/>
                <w:b/>
                <w:bCs/>
                <w:color w:val="000000"/>
                <w:sz w:val="20"/>
                <w:szCs w:val="20"/>
                <w:u w:val="none"/>
              </w:rPr>
              <w:t xml:space="preserve"> </w:t>
            </w:r>
            <w:r w:rsidR="00F67151" w:rsidRPr="00F67151">
              <w:rPr>
                <w:rFonts w:ascii="Arial,Bold" w:hAnsi="Arial,Bold" w:cs="Arial,Bold"/>
                <w:b/>
                <w:bCs/>
                <w:color w:val="000000"/>
                <w:sz w:val="20"/>
                <w:szCs w:val="20"/>
                <w:u w:val="none"/>
              </w:rPr>
              <w:t xml:space="preserve">prodotti ingombranti </w:t>
            </w:r>
            <w:r w:rsidR="00F67151" w:rsidRPr="00F67151">
              <w:rPr>
                <w:color w:val="000000"/>
                <w:sz w:val="20"/>
                <w:szCs w:val="20"/>
                <w:u w:val="none"/>
              </w:rPr>
              <w:t>possono essere esercitate in osservanza alla programmazione economica</w:t>
            </w:r>
            <w:r w:rsidR="00F67151">
              <w:rPr>
                <w:color w:val="000000"/>
                <w:sz w:val="20"/>
                <w:szCs w:val="20"/>
                <w:u w:val="none"/>
              </w:rPr>
              <w:t xml:space="preserve"> </w:t>
            </w:r>
            <w:r w:rsidR="00F67151" w:rsidRPr="00F67151">
              <w:rPr>
                <w:color w:val="000000"/>
                <w:sz w:val="20"/>
                <w:szCs w:val="20"/>
                <w:u w:val="none"/>
              </w:rPr>
              <w:t>commerciale del PGT</w:t>
            </w:r>
            <w:r w:rsidR="009371F3">
              <w:rPr>
                <w:color w:val="000000"/>
                <w:sz w:val="20"/>
                <w:szCs w:val="20"/>
                <w:u w:val="none"/>
              </w:rPr>
              <w:t>.</w:t>
            </w:r>
          </w:p>
          <w:p w14:paraId="45953F52" w14:textId="77777777" w:rsidR="00F67151" w:rsidRPr="00A17407" w:rsidRDefault="00F67151" w:rsidP="009371F3">
            <w:pPr>
              <w:autoSpaceDE w:val="0"/>
              <w:autoSpaceDN w:val="0"/>
              <w:adjustRightInd w:val="0"/>
              <w:ind w:left="164" w:right="312"/>
              <w:jc w:val="both"/>
              <w:rPr>
                <w:b/>
                <w:color w:val="000000"/>
                <w:sz w:val="20"/>
                <w:szCs w:val="20"/>
                <w:u w:val="none"/>
              </w:rPr>
            </w:pPr>
            <w:r w:rsidRPr="00A17407">
              <w:rPr>
                <w:b/>
                <w:color w:val="000000"/>
                <w:sz w:val="20"/>
                <w:szCs w:val="20"/>
                <w:u w:val="none"/>
              </w:rPr>
              <w:t>La richiesta di autorizzazione è prevista per tre fattori:</w:t>
            </w:r>
          </w:p>
          <w:p w14:paraId="09AAF5C6" w14:textId="77777777" w:rsidR="00F67151" w:rsidRPr="00F67151" w:rsidRDefault="00F67151" w:rsidP="009371F3">
            <w:pPr>
              <w:autoSpaceDE w:val="0"/>
              <w:autoSpaceDN w:val="0"/>
              <w:adjustRightInd w:val="0"/>
              <w:ind w:left="164" w:right="312"/>
              <w:jc w:val="both"/>
              <w:rPr>
                <w:color w:val="000000"/>
                <w:sz w:val="20"/>
                <w:szCs w:val="20"/>
                <w:u w:val="none"/>
              </w:rPr>
            </w:pPr>
            <w:r w:rsidRPr="00A17407">
              <w:rPr>
                <w:b/>
                <w:color w:val="000000"/>
                <w:sz w:val="20"/>
                <w:szCs w:val="20"/>
                <w:u w:val="none"/>
              </w:rPr>
              <w:t>1.</w:t>
            </w:r>
            <w:r w:rsidRPr="00F67151">
              <w:rPr>
                <w:color w:val="000000"/>
                <w:sz w:val="20"/>
                <w:szCs w:val="20"/>
                <w:u w:val="none"/>
              </w:rPr>
              <w:t xml:space="preserve"> L’ammissibilità insediativa prevista dalla componente commerciale del PGT;</w:t>
            </w:r>
          </w:p>
          <w:p w14:paraId="7EA35D41" w14:textId="31078F0A" w:rsidR="00F67151" w:rsidRPr="00F67151" w:rsidRDefault="00F67151" w:rsidP="009371F3">
            <w:pPr>
              <w:autoSpaceDE w:val="0"/>
              <w:autoSpaceDN w:val="0"/>
              <w:adjustRightInd w:val="0"/>
              <w:ind w:left="164" w:right="312"/>
              <w:jc w:val="both"/>
              <w:rPr>
                <w:color w:val="000000"/>
                <w:sz w:val="20"/>
                <w:szCs w:val="20"/>
                <w:u w:val="none"/>
              </w:rPr>
            </w:pPr>
            <w:r w:rsidRPr="00A17407">
              <w:rPr>
                <w:b/>
                <w:color w:val="000000"/>
                <w:sz w:val="20"/>
                <w:szCs w:val="20"/>
                <w:u w:val="none"/>
              </w:rPr>
              <w:t>2.</w:t>
            </w:r>
            <w:r w:rsidRPr="00F67151">
              <w:rPr>
                <w:color w:val="000000"/>
                <w:sz w:val="20"/>
                <w:szCs w:val="20"/>
                <w:u w:val="none"/>
              </w:rPr>
              <w:t xml:space="preserve"> La classificazione della tipologia di vendita in </w:t>
            </w:r>
            <w:r w:rsidRPr="00F67151">
              <w:rPr>
                <w:rFonts w:ascii="Arial,Bold" w:hAnsi="Arial,Bold" w:cs="Arial,Bold"/>
                <w:b/>
                <w:bCs/>
                <w:color w:val="000000"/>
                <w:sz w:val="20"/>
                <w:szCs w:val="20"/>
                <w:u w:val="none"/>
              </w:rPr>
              <w:t xml:space="preserve">MSV </w:t>
            </w:r>
            <w:r w:rsidRPr="00F67151">
              <w:rPr>
                <w:color w:val="000000"/>
                <w:sz w:val="20"/>
                <w:szCs w:val="20"/>
                <w:u w:val="none"/>
              </w:rPr>
              <w:t>indipendentemente dal risultato</w:t>
            </w:r>
            <w:r>
              <w:rPr>
                <w:color w:val="000000"/>
                <w:sz w:val="20"/>
                <w:szCs w:val="20"/>
                <w:u w:val="none"/>
              </w:rPr>
              <w:t xml:space="preserve"> </w:t>
            </w:r>
            <w:r w:rsidRPr="00F67151">
              <w:rPr>
                <w:color w:val="000000"/>
                <w:sz w:val="20"/>
                <w:szCs w:val="20"/>
                <w:u w:val="none"/>
              </w:rPr>
              <w:t xml:space="preserve">dell’abbattimento che potrebbe essere inferiore ai </w:t>
            </w:r>
            <w:r w:rsidR="009371F3">
              <w:rPr>
                <w:color w:val="000000"/>
                <w:sz w:val="20"/>
                <w:szCs w:val="20"/>
                <w:u w:val="none"/>
              </w:rPr>
              <w:t>1</w:t>
            </w:r>
            <w:r w:rsidRPr="00F67151">
              <w:rPr>
                <w:color w:val="000000"/>
                <w:sz w:val="20"/>
                <w:szCs w:val="20"/>
                <w:u w:val="none"/>
              </w:rPr>
              <w:t>51 mq.;</w:t>
            </w:r>
          </w:p>
          <w:p w14:paraId="5C3D8CE2" w14:textId="65192DBC" w:rsidR="00F67151" w:rsidRPr="00F67151" w:rsidRDefault="00F67151" w:rsidP="009371F3">
            <w:pPr>
              <w:autoSpaceDE w:val="0"/>
              <w:autoSpaceDN w:val="0"/>
              <w:adjustRightInd w:val="0"/>
              <w:spacing w:after="120"/>
              <w:ind w:left="164" w:right="312"/>
              <w:jc w:val="both"/>
              <w:rPr>
                <w:color w:val="000000"/>
                <w:sz w:val="20"/>
                <w:szCs w:val="20"/>
                <w:u w:val="none"/>
              </w:rPr>
            </w:pPr>
            <w:r w:rsidRPr="00A17407">
              <w:rPr>
                <w:b/>
                <w:color w:val="000000"/>
                <w:sz w:val="20"/>
                <w:szCs w:val="20"/>
                <w:u w:val="none"/>
              </w:rPr>
              <w:t>3.</w:t>
            </w:r>
            <w:r w:rsidRPr="00F67151">
              <w:rPr>
                <w:color w:val="000000"/>
                <w:sz w:val="20"/>
                <w:szCs w:val="20"/>
                <w:u w:val="none"/>
              </w:rPr>
              <w:t xml:space="preserve"> Il calcolo della dotazione degli standard sono correlati come una MSV</w:t>
            </w:r>
            <w:r w:rsidR="009371F3">
              <w:rPr>
                <w:color w:val="000000"/>
                <w:sz w:val="20"/>
                <w:szCs w:val="20"/>
                <w:u w:val="none"/>
              </w:rPr>
              <w:t xml:space="preserve"> </w:t>
            </w:r>
            <w:r w:rsidRPr="00F67151">
              <w:rPr>
                <w:color w:val="000000"/>
                <w:sz w:val="20"/>
                <w:szCs w:val="20"/>
                <w:u w:val="none"/>
              </w:rPr>
              <w:t>in relazione alla totale</w:t>
            </w:r>
            <w:r w:rsidR="00A17407">
              <w:rPr>
                <w:color w:val="000000"/>
                <w:sz w:val="20"/>
                <w:szCs w:val="20"/>
                <w:u w:val="none"/>
              </w:rPr>
              <w:t xml:space="preserve"> </w:t>
            </w:r>
            <w:r w:rsidRPr="00F67151">
              <w:rPr>
                <w:color w:val="000000"/>
                <w:sz w:val="20"/>
                <w:szCs w:val="20"/>
                <w:u w:val="none"/>
              </w:rPr>
              <w:t>slp utilizzata per il calcolo dell’abbattimento</w:t>
            </w:r>
          </w:p>
          <w:p w14:paraId="3DE2351E" w14:textId="7612E43E" w:rsidR="00F67151" w:rsidRPr="009371F3" w:rsidRDefault="00F67151" w:rsidP="002B7CA4">
            <w:pPr>
              <w:pStyle w:val="Paragrafoelenco"/>
              <w:autoSpaceDE w:val="0"/>
              <w:autoSpaceDN w:val="0"/>
              <w:adjustRightInd w:val="0"/>
              <w:spacing w:after="120"/>
              <w:ind w:left="164" w:right="312"/>
              <w:jc w:val="both"/>
              <w:rPr>
                <w:color w:val="000000"/>
                <w:sz w:val="20"/>
                <w:szCs w:val="20"/>
                <w:u w:val="none"/>
              </w:rPr>
            </w:pPr>
            <w:r w:rsidRPr="000F0124">
              <w:rPr>
                <w:b/>
                <w:bCs/>
                <w:i/>
                <w:iCs/>
                <w:color w:val="FF0000"/>
                <w:sz w:val="22"/>
                <w:szCs w:val="22"/>
                <w:u w:val="none"/>
              </w:rPr>
              <w:t>Come si calcola la superficie di vendita di prodotti ingombranti</w:t>
            </w:r>
            <w:r w:rsidR="009371F3" w:rsidRPr="000F0124">
              <w:rPr>
                <w:b/>
                <w:bCs/>
                <w:i/>
                <w:iCs/>
                <w:color w:val="FF0000"/>
                <w:sz w:val="22"/>
                <w:szCs w:val="22"/>
                <w:u w:val="none"/>
              </w:rPr>
              <w:t xml:space="preserve"> </w:t>
            </w:r>
            <w:r w:rsidR="009371F3" w:rsidRPr="000F0124">
              <w:rPr>
                <w:b/>
                <w:i/>
                <w:iCs/>
                <w:color w:val="FF0000"/>
                <w:sz w:val="22"/>
                <w:szCs w:val="22"/>
                <w:u w:val="none"/>
              </w:rPr>
              <w:t>-</w:t>
            </w:r>
            <w:r w:rsidR="009371F3">
              <w:rPr>
                <w:b/>
                <w:color w:val="FF0000"/>
                <w:sz w:val="22"/>
                <w:szCs w:val="22"/>
                <w:u w:val="none"/>
              </w:rPr>
              <w:t xml:space="preserve"> </w:t>
            </w:r>
            <w:r w:rsidRPr="009371F3">
              <w:rPr>
                <w:color w:val="000000"/>
                <w:sz w:val="20"/>
                <w:szCs w:val="20"/>
                <w:u w:val="none"/>
              </w:rPr>
              <w:t xml:space="preserve">Per quanto concerne la definizione della superficie di vendita di prodotti ingombranti non immediatamente amovibili, </w:t>
            </w:r>
            <w:r w:rsidRPr="002B7CA4">
              <w:rPr>
                <w:b/>
                <w:bCs/>
                <w:color w:val="000000"/>
                <w:sz w:val="20"/>
                <w:szCs w:val="20"/>
                <w:u w:val="none"/>
              </w:rPr>
              <w:t>la superficie di riferimento sulla quale calcolare l’abbattimento fino ad 1/8 (un ottavo) è la superficie lorda di pavimentazione dell’intero immobile</w:t>
            </w:r>
            <w:r w:rsidRPr="009371F3">
              <w:rPr>
                <w:color w:val="000000"/>
                <w:sz w:val="20"/>
                <w:szCs w:val="20"/>
                <w:u w:val="none"/>
              </w:rPr>
              <w:t>, o parte di esso, destinato alla esposizione dei prodotti ingombranti al cui acquisto consegue una consegna in luogo e tempo differente.</w:t>
            </w:r>
          </w:p>
          <w:p w14:paraId="2A1C861C" w14:textId="77777777" w:rsidR="00F67151" w:rsidRPr="002B7CA4" w:rsidRDefault="00F67151" w:rsidP="002B7CA4">
            <w:pPr>
              <w:autoSpaceDE w:val="0"/>
              <w:autoSpaceDN w:val="0"/>
              <w:adjustRightInd w:val="0"/>
              <w:spacing w:after="120"/>
              <w:ind w:left="164" w:right="312"/>
              <w:jc w:val="both"/>
              <w:rPr>
                <w:color w:val="000000"/>
                <w:sz w:val="20"/>
                <w:szCs w:val="20"/>
                <w:u w:val="none"/>
              </w:rPr>
            </w:pPr>
            <w:r w:rsidRPr="002B7CA4">
              <w:rPr>
                <w:b/>
                <w:bCs/>
                <w:color w:val="000000"/>
                <w:sz w:val="20"/>
                <w:szCs w:val="20"/>
                <w:u w:val="none"/>
              </w:rPr>
              <w:t xml:space="preserve">Per quanto attiene al calcolo della superficie di vendita di un reparto, </w:t>
            </w:r>
            <w:r w:rsidRPr="002B7CA4">
              <w:rPr>
                <w:color w:val="000000"/>
                <w:sz w:val="20"/>
                <w:szCs w:val="20"/>
                <w:u w:val="none"/>
              </w:rPr>
              <w:t>si dovrà prendere in considerazione la superficie lorda di pavimento dello stesso e calcolarne l’abbattimento.</w:t>
            </w:r>
          </w:p>
          <w:p w14:paraId="23519B38" w14:textId="77777777" w:rsidR="00F67151" w:rsidRPr="002B7CA4" w:rsidRDefault="00F67151" w:rsidP="002B7CA4">
            <w:pPr>
              <w:autoSpaceDE w:val="0"/>
              <w:autoSpaceDN w:val="0"/>
              <w:adjustRightInd w:val="0"/>
              <w:spacing w:after="120"/>
              <w:ind w:left="164" w:right="312"/>
              <w:jc w:val="both"/>
              <w:rPr>
                <w:color w:val="000000"/>
                <w:sz w:val="20"/>
                <w:szCs w:val="20"/>
                <w:u w:val="none"/>
              </w:rPr>
            </w:pPr>
            <w:r w:rsidRPr="002B7CA4">
              <w:rPr>
                <w:color w:val="000000"/>
                <w:sz w:val="20"/>
                <w:szCs w:val="20"/>
                <w:u w:val="none"/>
              </w:rPr>
              <w:t xml:space="preserve">Dal </w:t>
            </w:r>
            <w:proofErr w:type="gramStart"/>
            <w:r w:rsidRPr="002B7CA4">
              <w:rPr>
                <w:color w:val="000000"/>
                <w:sz w:val="20"/>
                <w:szCs w:val="20"/>
                <w:u w:val="none"/>
              </w:rPr>
              <w:t>predetto</w:t>
            </w:r>
            <w:proofErr w:type="gramEnd"/>
            <w:r w:rsidRPr="002B7CA4">
              <w:rPr>
                <w:color w:val="000000"/>
                <w:sz w:val="20"/>
                <w:szCs w:val="20"/>
                <w:u w:val="none"/>
              </w:rPr>
              <w:t xml:space="preserve"> risultato emerge la potenziale superficie di vendita interna ed esterna destinata alla vendita, compresa quella occupata da banchi, scaffalature e simili.</w:t>
            </w:r>
          </w:p>
          <w:p w14:paraId="0CBC6BEB" w14:textId="77777777" w:rsidR="00F67151" w:rsidRPr="002B7CA4" w:rsidRDefault="00F67151" w:rsidP="002B7CA4">
            <w:pPr>
              <w:autoSpaceDE w:val="0"/>
              <w:autoSpaceDN w:val="0"/>
              <w:adjustRightInd w:val="0"/>
              <w:spacing w:after="120"/>
              <w:ind w:left="164" w:right="312"/>
              <w:jc w:val="both"/>
              <w:rPr>
                <w:color w:val="000000"/>
                <w:sz w:val="20"/>
                <w:szCs w:val="20"/>
                <w:u w:val="none"/>
              </w:rPr>
            </w:pPr>
            <w:r w:rsidRPr="002B7CA4">
              <w:rPr>
                <w:color w:val="000000"/>
                <w:sz w:val="20"/>
                <w:szCs w:val="20"/>
                <w:u w:val="none"/>
              </w:rPr>
              <w:t>Non costituisce superficie di vendita quella destinata a magazzini, depositi, locali di lavorazione, uffici e servizi, aree a disposizione dei consumatori (quali gallerie, scale mobili, ascensori, nastri trasportatori, aree di sosta degli automezzi, anche se coperte ed i relativi corselli di manovra); è parimenti non considerata superficie di vendita l’area espositiva non direttamente accessibile dal punto di vendita purché sul posto non vengano effettuate le operazioni di contrattazione, ordinazione o fatturazione.</w:t>
            </w:r>
          </w:p>
          <w:p w14:paraId="090C7253" w14:textId="76EE0C07" w:rsidR="00F67151" w:rsidRPr="002B7CA4" w:rsidRDefault="00F67151" w:rsidP="009371F3">
            <w:pPr>
              <w:autoSpaceDE w:val="0"/>
              <w:autoSpaceDN w:val="0"/>
              <w:adjustRightInd w:val="0"/>
              <w:ind w:left="164" w:right="312"/>
              <w:jc w:val="both"/>
              <w:rPr>
                <w:rStyle w:val="Collegamentoipertestuale"/>
                <w:b/>
                <w:color w:val="C00000"/>
                <w:sz w:val="20"/>
                <w:szCs w:val="20"/>
                <w:u w:val="none"/>
              </w:rPr>
            </w:pPr>
            <w:r w:rsidRPr="002B7CA4">
              <w:rPr>
                <w:color w:val="000000"/>
                <w:sz w:val="20"/>
                <w:szCs w:val="20"/>
                <w:u w:val="none"/>
              </w:rPr>
              <w:t xml:space="preserve">Nei </w:t>
            </w:r>
            <w:proofErr w:type="gramStart"/>
            <w:r w:rsidRPr="002B7CA4">
              <w:rPr>
                <w:color w:val="000000"/>
                <w:sz w:val="20"/>
                <w:szCs w:val="20"/>
                <w:u w:val="none"/>
              </w:rPr>
              <w:t>predetti</w:t>
            </w:r>
            <w:proofErr w:type="gramEnd"/>
            <w:r w:rsidRPr="002B7CA4">
              <w:rPr>
                <w:color w:val="000000"/>
                <w:sz w:val="20"/>
                <w:szCs w:val="20"/>
                <w:u w:val="none"/>
              </w:rPr>
              <w:t xml:space="preserve"> esercizi non possono essere introdotte o vendute merci diverse da quelle aventi le caratteristiche sopra tassativamente indicate. Nei casi di vendita non autorizzata di merci diverse, è</w:t>
            </w:r>
            <w:r w:rsidR="001736F1" w:rsidRPr="002B7CA4">
              <w:rPr>
                <w:color w:val="000000"/>
                <w:sz w:val="20"/>
                <w:szCs w:val="20"/>
                <w:u w:val="none"/>
              </w:rPr>
              <w:t xml:space="preserve"> </w:t>
            </w:r>
            <w:r w:rsidRPr="002B7CA4">
              <w:rPr>
                <w:color w:val="000000"/>
                <w:sz w:val="20"/>
                <w:szCs w:val="20"/>
                <w:u w:val="none"/>
              </w:rPr>
              <w:t xml:space="preserve">applicata la sanzione di cui all'art. 22 del d.lgs. n. 114/98.     </w:t>
            </w:r>
          </w:p>
          <w:p w14:paraId="177EE858" w14:textId="77777777" w:rsidR="001736F1" w:rsidRDefault="001736F1" w:rsidP="003A4A32">
            <w:pPr>
              <w:spacing w:after="120"/>
              <w:ind w:left="164"/>
              <w:rPr>
                <w:rStyle w:val="Collegamentoipertestuale"/>
                <w:b/>
                <w:color w:val="C00000"/>
                <w:sz w:val="24"/>
                <w:szCs w:val="24"/>
                <w:u w:val="none"/>
              </w:rPr>
            </w:pPr>
          </w:p>
          <w:p w14:paraId="06ADAB64" w14:textId="77777777" w:rsidR="001736F1" w:rsidRDefault="001736F1" w:rsidP="003A4A32">
            <w:pPr>
              <w:spacing w:after="120"/>
              <w:ind w:left="164"/>
              <w:rPr>
                <w:rStyle w:val="Collegamentoipertestuale"/>
                <w:color w:val="C00000"/>
                <w:sz w:val="24"/>
                <w:szCs w:val="24"/>
              </w:rPr>
            </w:pPr>
          </w:p>
          <w:p w14:paraId="3C440AFE" w14:textId="77777777" w:rsidR="002B7CA4" w:rsidRDefault="002B7CA4" w:rsidP="003A4A32">
            <w:pPr>
              <w:spacing w:after="120"/>
              <w:ind w:left="164"/>
              <w:rPr>
                <w:rStyle w:val="Collegamentoipertestuale"/>
                <w:b/>
                <w:color w:val="C00000"/>
                <w:sz w:val="24"/>
                <w:szCs w:val="24"/>
                <w:u w:val="none"/>
              </w:rPr>
            </w:pPr>
          </w:p>
          <w:p w14:paraId="3D8A9B7E" w14:textId="3573F328" w:rsidR="00276654" w:rsidRPr="002B7CA4" w:rsidRDefault="004F59C5" w:rsidP="003A4A32">
            <w:pPr>
              <w:spacing w:after="120"/>
              <w:ind w:left="164"/>
              <w:rPr>
                <w:b/>
                <w:color w:val="C00000"/>
                <w:u w:val="none"/>
              </w:rPr>
            </w:pPr>
            <w:r w:rsidRPr="002B7CA4">
              <w:rPr>
                <w:rStyle w:val="Collegamentoipertestuale"/>
                <w:b/>
                <w:color w:val="C00000"/>
                <w:u w:val="none"/>
              </w:rPr>
              <w:t>Presentazione pratica</w:t>
            </w:r>
          </w:p>
          <w:p w14:paraId="097BF33D" w14:textId="67E20651" w:rsidR="00A17407" w:rsidRPr="00A17407" w:rsidRDefault="00A17407" w:rsidP="00A17407">
            <w:pPr>
              <w:spacing w:after="121" w:line="257" w:lineRule="auto"/>
              <w:ind w:left="164" w:right="312" w:hanging="10"/>
              <w:jc w:val="both"/>
              <w:rPr>
                <w:rFonts w:eastAsia="Arial"/>
                <w:color w:val="auto"/>
                <w:sz w:val="20"/>
                <w:szCs w:val="20"/>
                <w:u w:val="none"/>
              </w:rPr>
            </w:pPr>
            <w:r w:rsidRPr="000F0124">
              <w:rPr>
                <w:rFonts w:eastAsia="Arial"/>
                <w:b/>
                <w:i/>
                <w:iCs/>
                <w:color w:val="FF0000"/>
                <w:sz w:val="22"/>
                <w:szCs w:val="22"/>
                <w:u w:val="none"/>
              </w:rPr>
              <w:t>L’attivazione della vendita al dettaglio di prodotti ingombranti, non immediatamente amovibili</w:t>
            </w:r>
            <w:r w:rsidRPr="00A17407">
              <w:rPr>
                <w:rFonts w:eastAsia="Arial"/>
                <w:b/>
                <w:color w:val="FF0000"/>
                <w:sz w:val="20"/>
                <w:szCs w:val="20"/>
                <w:u w:val="none"/>
              </w:rPr>
              <w:t xml:space="preserve"> </w:t>
            </w:r>
            <w:r w:rsidRPr="00A17407">
              <w:rPr>
                <w:rFonts w:eastAsia="Arial"/>
                <w:b/>
                <w:color w:val="auto"/>
                <w:sz w:val="20"/>
                <w:szCs w:val="20"/>
                <w:u w:val="none"/>
              </w:rPr>
              <w:t xml:space="preserve">(mediante l’abbattimento di 1/8 della slp), </w:t>
            </w:r>
            <w:r w:rsidRPr="00A17407">
              <w:rPr>
                <w:rFonts w:eastAsia="Arial"/>
                <w:color w:val="auto"/>
                <w:sz w:val="20"/>
                <w:szCs w:val="20"/>
                <w:u w:val="none"/>
              </w:rPr>
              <w:t xml:space="preserve">è comunque disposta in modo negoziato con l’amministrazione comunale ed </w:t>
            </w:r>
            <w:r w:rsidRPr="00A17407">
              <w:rPr>
                <w:rFonts w:eastAsia="Arial"/>
                <w:b/>
                <w:color w:val="auto"/>
                <w:sz w:val="20"/>
                <w:szCs w:val="20"/>
                <w:u w:val="none"/>
              </w:rPr>
              <w:t>è considerata attivazione di una MSV</w:t>
            </w:r>
            <w:r w:rsidR="002B7CA4">
              <w:rPr>
                <w:rFonts w:eastAsia="Arial"/>
                <w:b/>
                <w:color w:val="auto"/>
                <w:sz w:val="20"/>
                <w:szCs w:val="20"/>
                <w:u w:val="none"/>
              </w:rPr>
              <w:t xml:space="preserve"> </w:t>
            </w:r>
            <w:r w:rsidRPr="00A17407">
              <w:rPr>
                <w:rFonts w:eastAsia="Arial"/>
                <w:color w:val="auto"/>
                <w:sz w:val="20"/>
                <w:szCs w:val="20"/>
                <w:u w:val="none"/>
              </w:rPr>
              <w:t xml:space="preserve">alle cui disposizioni occorre fare riferimento. La negoziazione non si attua qualora l’insediamento sia escluso dalla componente economica commerciale del PGT. </w:t>
            </w:r>
          </w:p>
          <w:p w14:paraId="7260BD41" w14:textId="470F3F26" w:rsidR="00A17407" w:rsidRPr="00A17407" w:rsidRDefault="00A17407" w:rsidP="00A17407">
            <w:pPr>
              <w:ind w:left="164" w:right="312"/>
              <w:jc w:val="both"/>
              <w:rPr>
                <w:color w:val="auto"/>
                <w:sz w:val="20"/>
                <w:szCs w:val="20"/>
                <w:u w:val="none"/>
              </w:rPr>
            </w:pPr>
            <w:r w:rsidRPr="00A17407">
              <w:rPr>
                <w:color w:val="auto"/>
                <w:sz w:val="20"/>
                <w:szCs w:val="20"/>
                <w:u w:val="none"/>
              </w:rPr>
              <w:t xml:space="preserve">Come indicato al punto precedente, se l’attivazione è prevista dalla componente economica-commerciale del PGT, occorre acquisire l’ammissibilità urbanistica presentando al SUAP una richiesta preventiva al fine di evitare tempi e costi procedurali inutili inoltrando tramite PEC il seguente </w:t>
            </w:r>
            <w:hyperlink r:id="rId7" w:history="1">
              <w:r w:rsidRPr="00A17407">
                <w:rPr>
                  <w:rStyle w:val="Collegamentoipertestuale"/>
                  <w:b/>
                  <w:sz w:val="20"/>
                  <w:szCs w:val="20"/>
                  <w:u w:val="none"/>
                </w:rPr>
                <w:t>m</w:t>
              </w:r>
              <w:r w:rsidRPr="00A17407">
                <w:rPr>
                  <w:rStyle w:val="Collegamentoipertestuale"/>
                  <w:b/>
                  <w:sz w:val="20"/>
                  <w:szCs w:val="20"/>
                  <w:u w:val="none"/>
                </w:rPr>
                <w:t>o</w:t>
              </w:r>
              <w:r w:rsidRPr="00A17407">
                <w:rPr>
                  <w:rStyle w:val="Collegamentoipertestuale"/>
                  <w:b/>
                  <w:sz w:val="20"/>
                  <w:szCs w:val="20"/>
                  <w:u w:val="none"/>
                </w:rPr>
                <w:t>d</w:t>
              </w:r>
              <w:r w:rsidRPr="00A17407">
                <w:rPr>
                  <w:rStyle w:val="Collegamentoipertestuale"/>
                  <w:b/>
                  <w:sz w:val="20"/>
                  <w:szCs w:val="20"/>
                  <w:u w:val="none"/>
                </w:rPr>
                <w:t>u</w:t>
              </w:r>
              <w:r w:rsidRPr="00A17407">
                <w:rPr>
                  <w:rStyle w:val="Collegamentoipertestuale"/>
                  <w:b/>
                  <w:sz w:val="20"/>
                  <w:szCs w:val="20"/>
                  <w:u w:val="none"/>
                </w:rPr>
                <w:t>lo</w:t>
              </w:r>
            </w:hyperlink>
            <w:r w:rsidRPr="00A17407">
              <w:rPr>
                <w:rStyle w:val="Collegamentoipertestuale"/>
                <w:b/>
                <w:sz w:val="20"/>
                <w:szCs w:val="20"/>
                <w:u w:val="none"/>
              </w:rPr>
              <w:t xml:space="preserve"> </w:t>
            </w:r>
            <w:r w:rsidRPr="00A17407">
              <w:rPr>
                <w:color w:val="auto"/>
                <w:sz w:val="20"/>
                <w:szCs w:val="20"/>
                <w:u w:val="none"/>
              </w:rPr>
              <w:t xml:space="preserve">unitamente alla relazione sulle caratteristiche dell’intervento come indicate </w:t>
            </w:r>
            <w:r>
              <w:rPr>
                <w:color w:val="auto"/>
                <w:sz w:val="20"/>
                <w:szCs w:val="20"/>
                <w:u w:val="none"/>
              </w:rPr>
              <w:t>nelle modalità di esercizio</w:t>
            </w:r>
            <w:r w:rsidRPr="00A17407">
              <w:rPr>
                <w:color w:val="auto"/>
                <w:sz w:val="20"/>
                <w:szCs w:val="20"/>
                <w:u w:val="none"/>
              </w:rPr>
              <w:t xml:space="preserve">. </w:t>
            </w:r>
          </w:p>
          <w:p w14:paraId="0449597B" w14:textId="77777777" w:rsidR="00A17407" w:rsidRPr="00A17407" w:rsidRDefault="00A17407" w:rsidP="00A17407">
            <w:pPr>
              <w:ind w:left="164" w:right="312"/>
              <w:jc w:val="both"/>
              <w:rPr>
                <w:color w:val="0000FF"/>
                <w:sz w:val="20"/>
                <w:szCs w:val="20"/>
                <w:u w:val="none"/>
              </w:rPr>
            </w:pPr>
          </w:p>
          <w:p w14:paraId="0CFA88B2" w14:textId="2FFF3584" w:rsidR="00A17407" w:rsidRPr="00A17407" w:rsidRDefault="00A17407" w:rsidP="001736F1">
            <w:pPr>
              <w:spacing w:after="120"/>
              <w:ind w:left="164" w:right="312"/>
              <w:jc w:val="both"/>
              <w:rPr>
                <w:rStyle w:val="Collegamentoipertestuale"/>
                <w:sz w:val="20"/>
                <w:szCs w:val="20"/>
                <w:u w:val="none"/>
              </w:rPr>
            </w:pPr>
            <w:r w:rsidRPr="00A17407">
              <w:rPr>
                <w:color w:val="auto"/>
                <w:sz w:val="20"/>
                <w:szCs w:val="20"/>
                <w:u w:val="none"/>
              </w:rPr>
              <w:t xml:space="preserve">Una volta ottenuta l’ammissibilità urbanistica, oppure si tratta di attivare una MSV nelle modalità previste dalla componente economica commerciale del PGT, per realizzare le dovute opere edificatorie, viabilistiche, d’arredo urbano occorre presentare al SUAP la documentazione afferente l’ottenimento contestuale dell’autorizzazione commerciale e del permesso di costruire, mediante lo sportello telematico </w:t>
            </w:r>
            <w:hyperlink r:id="rId8" w:history="1">
              <w:hyperlink r:id="rId9" w:history="1">
                <w:r w:rsidR="00E43DC2">
                  <w:rPr>
                    <w:rStyle w:val="Collegamentoipertestuale"/>
                    <w:b/>
                    <w:sz w:val="20"/>
                    <w:szCs w:val="20"/>
                  </w:rPr>
                  <w:t xml:space="preserve">Impresainungiorno.gov.it </w:t>
                </w:r>
                <w:r w:rsidR="00E43DC2">
                  <w:rPr>
                    <w:rStyle w:val="Collegamentoipertestuale"/>
                    <w:sz w:val="20"/>
                    <w:szCs w:val="20"/>
                  </w:rPr>
                  <w:t xml:space="preserve"> </w:t>
                </w:r>
              </w:hyperlink>
              <w:r w:rsidR="00E43DC2">
                <w:rPr>
                  <w:sz w:val="20"/>
                  <w:szCs w:val="20"/>
                </w:rPr>
                <w:t xml:space="preserve"> </w:t>
              </w:r>
              <w:r w:rsidRPr="00A17407">
                <w:rPr>
                  <w:rStyle w:val="Collegamentoipertestuale"/>
                  <w:sz w:val="20"/>
                  <w:szCs w:val="20"/>
                  <w:u w:val="none"/>
                </w:rPr>
                <w:t xml:space="preserve"> </w:t>
              </w:r>
            </w:hyperlink>
            <w:r w:rsidRPr="00A17407">
              <w:rPr>
                <w:rStyle w:val="Collegamentoipertestuale"/>
                <w:sz w:val="20"/>
                <w:szCs w:val="20"/>
                <w:u w:val="none"/>
              </w:rPr>
              <w:t xml:space="preserve"> </w:t>
            </w:r>
          </w:p>
          <w:p w14:paraId="517BCADA" w14:textId="202D8AE0" w:rsidR="004F4CDD" w:rsidRPr="00056E5D" w:rsidRDefault="004F4CDD" w:rsidP="004F4CDD">
            <w:pPr>
              <w:spacing w:after="60"/>
              <w:ind w:left="164" w:right="312"/>
              <w:jc w:val="both"/>
              <w:rPr>
                <w:b/>
                <w:color w:val="auto"/>
                <w:sz w:val="20"/>
                <w:szCs w:val="20"/>
                <w:u w:val="none"/>
              </w:rPr>
            </w:pPr>
            <w:r w:rsidRPr="006A635E">
              <w:rPr>
                <w:color w:val="auto"/>
                <w:sz w:val="20"/>
                <w:szCs w:val="20"/>
                <w:u w:val="none"/>
              </w:rPr>
              <w:t>Ad accesso avvenuto procedere selezionando:</w:t>
            </w:r>
            <w:r>
              <w:rPr>
                <w:color w:val="auto"/>
                <w:sz w:val="20"/>
                <w:szCs w:val="20"/>
                <w:u w:val="none"/>
              </w:rPr>
              <w:t xml:space="preserve"> </w:t>
            </w:r>
            <w:r w:rsidRPr="00CD592E">
              <w:rPr>
                <w:b/>
                <w:color w:val="auto"/>
                <w:sz w:val="20"/>
                <w:szCs w:val="20"/>
                <w:u w:val="none"/>
              </w:rPr>
              <w:t>Commercio</w:t>
            </w:r>
            <w:r>
              <w:rPr>
                <w:b/>
                <w:color w:val="auto"/>
                <w:sz w:val="20"/>
                <w:szCs w:val="20"/>
                <w:u w:val="none"/>
              </w:rPr>
              <w:t xml:space="preserve"> (Ateco da 45 a 47) + Commercio al dettaglio in area privata + </w:t>
            </w:r>
            <w:r w:rsidRPr="00056E5D">
              <w:rPr>
                <w:b/>
                <w:color w:val="auto"/>
                <w:sz w:val="20"/>
                <w:szCs w:val="20"/>
                <w:u w:val="none"/>
              </w:rPr>
              <w:t xml:space="preserve">Media struttura di vendita + </w:t>
            </w:r>
            <w:r>
              <w:rPr>
                <w:b/>
                <w:color w:val="auto"/>
                <w:sz w:val="20"/>
                <w:szCs w:val="20"/>
                <w:u w:val="none"/>
              </w:rPr>
              <w:t>S</w:t>
            </w:r>
            <w:r w:rsidRPr="00056E5D">
              <w:rPr>
                <w:b/>
                <w:color w:val="auto"/>
                <w:sz w:val="20"/>
                <w:szCs w:val="20"/>
                <w:u w:val="none"/>
              </w:rPr>
              <w:t xml:space="preserve">ettore merceologico </w:t>
            </w:r>
            <w:r>
              <w:rPr>
                <w:b/>
                <w:color w:val="auto"/>
                <w:sz w:val="20"/>
                <w:szCs w:val="20"/>
                <w:u w:val="none"/>
              </w:rPr>
              <w:t xml:space="preserve">NON </w:t>
            </w:r>
            <w:r w:rsidRPr="00056E5D">
              <w:rPr>
                <w:b/>
                <w:color w:val="auto"/>
                <w:sz w:val="20"/>
                <w:szCs w:val="20"/>
                <w:u w:val="none"/>
              </w:rPr>
              <w:t>alimentare + esercizio con superficie totale lorda, comprensiva di servizi e depositi (es. magazzini), superiore a 400 mq, o comunque se l’attività ricade in uno qualsiasi dei punti dell’Allegato I al D.P.R. 151/2011.</w:t>
            </w:r>
          </w:p>
          <w:p w14:paraId="0DAB75AF" w14:textId="77777777" w:rsidR="001736F1" w:rsidRPr="00056E5D" w:rsidRDefault="001736F1" w:rsidP="001736F1">
            <w:pPr>
              <w:pStyle w:val="ui-treenode-label1"/>
              <w:shd w:val="clear" w:color="auto" w:fill="FFFFFF"/>
              <w:spacing w:before="0" w:beforeAutospacing="0" w:after="120" w:afterAutospacing="0"/>
              <w:ind w:left="164" w:right="312"/>
              <w:jc w:val="both"/>
              <w:rPr>
                <w:rFonts w:ascii="Arial" w:hAnsi="Arial" w:cs="Arial"/>
                <w:b/>
                <w:color w:val="auto"/>
                <w:sz w:val="20"/>
                <w:szCs w:val="20"/>
                <w:u w:val="none"/>
              </w:rPr>
            </w:pPr>
            <w:r w:rsidRPr="00056E5D">
              <w:rPr>
                <w:rFonts w:ascii="Arial" w:hAnsi="Arial" w:cs="Arial"/>
                <w:color w:val="auto"/>
                <w:sz w:val="20"/>
                <w:szCs w:val="20"/>
                <w:u w:val="none"/>
              </w:rPr>
              <w:t>Seguire digitando</w:t>
            </w:r>
            <w:r w:rsidRPr="00056E5D">
              <w:rPr>
                <w:rFonts w:ascii="Arial" w:hAnsi="Arial" w:cs="Arial"/>
                <w:b/>
                <w:color w:val="auto"/>
                <w:sz w:val="20"/>
                <w:szCs w:val="20"/>
                <w:u w:val="none"/>
              </w:rPr>
              <w:t xml:space="preserve"> Conferma + Avvio</w:t>
            </w:r>
            <w:r>
              <w:rPr>
                <w:rFonts w:ascii="Arial" w:hAnsi="Arial" w:cs="Arial"/>
                <w:b/>
                <w:color w:val="auto"/>
                <w:sz w:val="20"/>
                <w:szCs w:val="20"/>
                <w:u w:val="none"/>
              </w:rPr>
              <w:t>, gestione, cessazione attività</w:t>
            </w:r>
            <w:r w:rsidRPr="00056E5D">
              <w:rPr>
                <w:rFonts w:ascii="Arial" w:hAnsi="Arial" w:cs="Arial"/>
                <w:b/>
                <w:color w:val="auto"/>
                <w:sz w:val="20"/>
                <w:szCs w:val="20"/>
                <w:u w:val="none"/>
              </w:rPr>
              <w:t xml:space="preserve"> + Aprire </w:t>
            </w:r>
            <w:r w:rsidRPr="000B0BEE">
              <w:rPr>
                <w:rFonts w:ascii="Arial" w:hAnsi="Arial" w:cs="Arial"/>
                <w:b/>
                <w:color w:val="auto"/>
                <w:sz w:val="20"/>
                <w:szCs w:val="20"/>
                <w:u w:val="none"/>
              </w:rPr>
              <w:t>l’</w:t>
            </w:r>
            <w:r w:rsidRPr="00056E5D">
              <w:rPr>
                <w:rFonts w:ascii="Arial" w:hAnsi="Arial" w:cs="Arial"/>
                <w:b/>
                <w:color w:val="auto"/>
                <w:sz w:val="20"/>
                <w:szCs w:val="20"/>
                <w:u w:val="none"/>
              </w:rPr>
              <w:t>attività</w:t>
            </w:r>
          </w:p>
          <w:p w14:paraId="034BEE8E" w14:textId="6B41ABAB" w:rsidR="001736F1" w:rsidRPr="00056E5D" w:rsidRDefault="001736F1" w:rsidP="000F0124">
            <w:pPr>
              <w:pStyle w:val="ui-treenode-label1"/>
              <w:shd w:val="clear" w:color="auto" w:fill="FFFFFF"/>
              <w:spacing w:before="0" w:beforeAutospacing="0" w:after="240" w:afterAutospacing="0"/>
              <w:ind w:left="164" w:right="312"/>
              <w:jc w:val="both"/>
              <w:rPr>
                <w:rFonts w:ascii="Arial" w:hAnsi="Arial" w:cs="Arial"/>
                <w:color w:val="auto"/>
                <w:sz w:val="20"/>
                <w:szCs w:val="20"/>
                <w:u w:val="none"/>
              </w:rPr>
            </w:pPr>
            <w:r w:rsidRPr="00056E5D">
              <w:rPr>
                <w:rFonts w:ascii="Arial" w:hAnsi="Arial" w:cs="Arial"/>
                <w:color w:val="auto"/>
                <w:sz w:val="20"/>
                <w:szCs w:val="20"/>
                <w:u w:val="none"/>
              </w:rPr>
              <w:t xml:space="preserve">L’autorizzazione commerciale verrà rilasciata al termine dei lavori edili o di approntamento dell’esercizio presentando </w:t>
            </w:r>
            <w:hyperlink r:id="rId10" w:history="1">
              <w:r w:rsidRPr="00056E5D">
                <w:rPr>
                  <w:rStyle w:val="Collegamentoipertestuale"/>
                  <w:rFonts w:ascii="Arial" w:hAnsi="Arial" w:cs="Arial"/>
                  <w:b/>
                  <w:sz w:val="20"/>
                  <w:szCs w:val="20"/>
                  <w:u w:val="none"/>
                </w:rPr>
                <w:t>comuni</w:t>
              </w:r>
              <w:r w:rsidRPr="00056E5D">
                <w:rPr>
                  <w:rStyle w:val="Collegamentoipertestuale"/>
                  <w:rFonts w:ascii="Arial" w:hAnsi="Arial" w:cs="Arial"/>
                  <w:b/>
                  <w:sz w:val="20"/>
                  <w:szCs w:val="20"/>
                  <w:u w:val="none"/>
                </w:rPr>
                <w:t>c</w:t>
              </w:r>
              <w:r w:rsidRPr="00056E5D">
                <w:rPr>
                  <w:rStyle w:val="Collegamentoipertestuale"/>
                  <w:rFonts w:ascii="Arial" w:hAnsi="Arial" w:cs="Arial"/>
                  <w:b/>
                  <w:sz w:val="20"/>
                  <w:szCs w:val="20"/>
                  <w:u w:val="none"/>
                </w:rPr>
                <w:t>azione</w:t>
              </w:r>
            </w:hyperlink>
            <w:r w:rsidRPr="00056E5D">
              <w:rPr>
                <w:rFonts w:ascii="Arial" w:hAnsi="Arial" w:cs="Arial"/>
                <w:color w:val="auto"/>
                <w:sz w:val="20"/>
                <w:szCs w:val="20"/>
                <w:u w:val="none"/>
              </w:rPr>
              <w:t xml:space="preserve"> al SUAP mediante PEC. </w:t>
            </w:r>
          </w:p>
          <w:p w14:paraId="074D505E" w14:textId="20F5BF0C" w:rsidR="002B7CA4" w:rsidRPr="004968EE" w:rsidRDefault="002B7CA4" w:rsidP="000F0124">
            <w:pPr>
              <w:spacing w:after="120"/>
              <w:ind w:left="164" w:right="312"/>
              <w:jc w:val="both"/>
              <w:rPr>
                <w:rFonts w:eastAsia="Times New Roman"/>
                <w:color w:val="auto"/>
                <w:sz w:val="20"/>
                <w:szCs w:val="20"/>
                <w:u w:val="none"/>
                <w:lang w:eastAsia="it-IT"/>
              </w:rPr>
            </w:pPr>
            <w:r w:rsidRPr="000F0124">
              <w:rPr>
                <w:rFonts w:eastAsia="Times New Roman"/>
                <w:b/>
                <w:i/>
                <w:iCs/>
                <w:color w:val="FF0000"/>
                <w:sz w:val="22"/>
                <w:szCs w:val="22"/>
                <w:u w:val="none"/>
                <w:lang w:eastAsia="it-IT"/>
              </w:rPr>
              <w:t xml:space="preserve">Variazioni attività </w:t>
            </w:r>
            <w:r w:rsidR="000F0124">
              <w:rPr>
                <w:rFonts w:eastAsia="Times New Roman"/>
                <w:b/>
                <w:i/>
                <w:iCs/>
                <w:color w:val="FF0000"/>
                <w:sz w:val="22"/>
                <w:szCs w:val="22"/>
                <w:u w:val="none"/>
                <w:lang w:eastAsia="it-IT"/>
              </w:rPr>
              <w:t xml:space="preserve">- </w:t>
            </w:r>
            <w:r w:rsidRPr="004968EE">
              <w:rPr>
                <w:rFonts w:eastAsia="Times New Roman"/>
                <w:color w:val="auto"/>
                <w:sz w:val="20"/>
                <w:szCs w:val="20"/>
                <w:u w:val="none"/>
                <w:lang w:eastAsia="it-IT"/>
              </w:rPr>
              <w:t xml:space="preserve">La stessa procedura, da </w:t>
            </w:r>
            <w:r w:rsidRPr="004968EE">
              <w:rPr>
                <w:color w:val="auto"/>
                <w:sz w:val="20"/>
                <w:szCs w:val="20"/>
                <w:u w:val="none"/>
              </w:rPr>
              <w:t>inoltrare mediante lo sportello telematico</w:t>
            </w:r>
            <w:r w:rsidR="00973E76">
              <w:rPr>
                <w:color w:val="auto"/>
                <w:sz w:val="20"/>
                <w:szCs w:val="20"/>
                <w:u w:val="none"/>
              </w:rPr>
              <w:t>,</w:t>
            </w:r>
            <w:r w:rsidRPr="004968EE">
              <w:rPr>
                <w:color w:val="auto"/>
                <w:sz w:val="20"/>
                <w:szCs w:val="20"/>
                <w:u w:val="none"/>
              </w:rPr>
              <w:t xml:space="preserve"> </w:t>
            </w:r>
            <w:r w:rsidRPr="004968EE">
              <w:rPr>
                <w:rFonts w:eastAsia="Times New Roman"/>
                <w:color w:val="auto"/>
                <w:sz w:val="20"/>
                <w:szCs w:val="20"/>
                <w:u w:val="none"/>
                <w:lang w:eastAsia="it-IT"/>
              </w:rPr>
              <w:t>si applica per le comunicazioni inerenti:</w:t>
            </w:r>
          </w:p>
          <w:p w14:paraId="3C10D880" w14:textId="77777777" w:rsidR="002B7CA4" w:rsidRPr="004968EE" w:rsidRDefault="002B7CA4" w:rsidP="000F0124">
            <w:pPr>
              <w:spacing w:after="240"/>
              <w:ind w:left="164" w:right="312"/>
              <w:jc w:val="both"/>
              <w:rPr>
                <w:rFonts w:eastAsia="Times New Roman"/>
                <w:b/>
                <w:bCs/>
                <w:color w:val="auto"/>
                <w:sz w:val="20"/>
                <w:szCs w:val="20"/>
                <w:u w:val="none"/>
                <w:lang w:eastAsia="it-IT"/>
              </w:rPr>
            </w:pPr>
            <w:r w:rsidRPr="004968EE">
              <w:rPr>
                <w:rFonts w:eastAsia="Times New Roman"/>
                <w:b/>
                <w:color w:val="auto"/>
                <w:sz w:val="20"/>
                <w:szCs w:val="20"/>
                <w:u w:val="none"/>
                <w:lang w:eastAsia="it-IT"/>
              </w:rPr>
              <w:t>Subingresso – Richiedere l’orario di apertura in deroga a quanto disposto – Trasferire la sede dell’attività all’interno del territorio comunale –</w:t>
            </w:r>
            <w:r w:rsidRPr="004968EE">
              <w:rPr>
                <w:rFonts w:eastAsia="Times New Roman"/>
                <w:color w:val="auto"/>
                <w:sz w:val="20"/>
                <w:szCs w:val="20"/>
                <w:u w:val="none"/>
                <w:lang w:eastAsia="it-IT"/>
              </w:rPr>
              <w:t xml:space="preserve"> </w:t>
            </w:r>
            <w:r w:rsidRPr="004968EE">
              <w:rPr>
                <w:rFonts w:eastAsia="Times New Roman"/>
                <w:b/>
                <w:bCs/>
                <w:color w:val="auto"/>
                <w:sz w:val="20"/>
                <w:szCs w:val="20"/>
                <w:u w:val="none"/>
                <w:lang w:eastAsia="it-IT"/>
              </w:rPr>
              <w:t>Comunicare l’affido in gestione di reparto</w:t>
            </w:r>
            <w:r w:rsidRPr="004968EE">
              <w:rPr>
                <w:rFonts w:eastAsia="Times New Roman"/>
                <w:color w:val="auto"/>
                <w:sz w:val="20"/>
                <w:szCs w:val="20"/>
                <w:u w:val="none"/>
                <w:lang w:eastAsia="it-IT"/>
              </w:rPr>
              <w:t xml:space="preserve"> – </w:t>
            </w:r>
            <w:r w:rsidRPr="004968EE">
              <w:rPr>
                <w:rFonts w:eastAsia="Times New Roman"/>
                <w:b/>
                <w:bCs/>
                <w:color w:val="auto"/>
                <w:sz w:val="20"/>
                <w:szCs w:val="20"/>
                <w:u w:val="none"/>
                <w:lang w:eastAsia="it-IT"/>
              </w:rPr>
              <w:t>Comunicare il subaffido in gestione di reparto – Comunicare la cessazione dell’affido in gestione di reparto – Comunicare variazioni strutturali (locali, impianti, ciclo produttivo, settore merceologico, modifica automezzi trasporto) – Variazione preposto – Variazione soggetti (denominazione, sede legale, modifiche societarie e titolarietà dei requisiti solo in caso di variazioni societarie)</w:t>
            </w:r>
          </w:p>
          <w:p w14:paraId="59EDC8D5" w14:textId="3DFC4D4F" w:rsidR="002B7CA4" w:rsidRPr="004968EE" w:rsidRDefault="002B7CA4" w:rsidP="002B7CA4">
            <w:pPr>
              <w:spacing w:after="120"/>
              <w:ind w:left="164" w:right="312"/>
              <w:jc w:val="both"/>
              <w:rPr>
                <w:rFonts w:eastAsia="Times New Roman"/>
                <w:color w:val="auto"/>
                <w:sz w:val="20"/>
                <w:szCs w:val="20"/>
                <w:u w:val="none"/>
                <w:lang w:eastAsia="it-IT"/>
              </w:rPr>
            </w:pPr>
            <w:r w:rsidRPr="000F0124">
              <w:rPr>
                <w:rFonts w:eastAsia="Times New Roman"/>
                <w:b/>
                <w:i/>
                <w:iCs/>
                <w:color w:val="FF0000"/>
                <w:sz w:val="22"/>
                <w:szCs w:val="22"/>
                <w:u w:val="none"/>
                <w:lang w:eastAsia="it-IT"/>
              </w:rPr>
              <w:t>Cessazione o sospensione attività</w:t>
            </w:r>
            <w:r w:rsidR="000F0124">
              <w:rPr>
                <w:rFonts w:eastAsia="Times New Roman"/>
                <w:b/>
                <w:i/>
                <w:iCs/>
                <w:color w:val="FF0000"/>
                <w:sz w:val="22"/>
                <w:szCs w:val="22"/>
                <w:u w:val="none"/>
                <w:lang w:eastAsia="it-IT"/>
              </w:rPr>
              <w:t xml:space="preserve"> - </w:t>
            </w:r>
            <w:r w:rsidRPr="004968EE">
              <w:rPr>
                <w:rFonts w:eastAsia="Times New Roman"/>
                <w:color w:val="auto"/>
                <w:sz w:val="20"/>
                <w:szCs w:val="20"/>
                <w:u w:val="none"/>
                <w:lang w:eastAsia="it-IT"/>
              </w:rPr>
              <w:t xml:space="preserve">Analoga procedura delle variazioni si applica anche per le comunicazioni di </w:t>
            </w:r>
            <w:r w:rsidRPr="004968EE">
              <w:rPr>
                <w:rFonts w:eastAsia="Times New Roman"/>
                <w:b/>
                <w:color w:val="auto"/>
                <w:sz w:val="20"/>
                <w:szCs w:val="20"/>
                <w:u w:val="none"/>
                <w:lang w:eastAsia="it-IT"/>
              </w:rPr>
              <w:t xml:space="preserve">cessazione - </w:t>
            </w:r>
            <w:hyperlink r:id="rId11" w:history="1">
              <w:r w:rsidRPr="004968EE">
                <w:rPr>
                  <w:rStyle w:val="Collegamentoipertestuale"/>
                  <w:rFonts w:eastAsia="Times New Roman"/>
                  <w:b/>
                  <w:color w:val="auto"/>
                  <w:sz w:val="20"/>
                  <w:szCs w:val="20"/>
                  <w:u w:val="none"/>
                  <w:lang w:eastAsia="it-IT"/>
                </w:rPr>
                <w:t>sospensione</w:t>
              </w:r>
            </w:hyperlink>
            <w:r w:rsidRPr="004968EE">
              <w:rPr>
                <w:rFonts w:eastAsia="Times New Roman"/>
                <w:b/>
                <w:color w:val="auto"/>
                <w:sz w:val="20"/>
                <w:szCs w:val="20"/>
                <w:u w:val="none"/>
                <w:lang w:eastAsia="it-IT"/>
              </w:rPr>
              <w:t xml:space="preserve"> breve dell'attività (max 30 giorni) – Chiusura per ferie – Sospendere l’attività oltre 30 giorni – Riprendere l’attività</w:t>
            </w:r>
            <w:r w:rsidRPr="004968EE">
              <w:rPr>
                <w:rFonts w:eastAsia="Times New Roman"/>
                <w:color w:val="auto"/>
                <w:sz w:val="20"/>
                <w:szCs w:val="20"/>
                <w:u w:val="none"/>
                <w:lang w:eastAsia="it-IT"/>
              </w:rPr>
              <w:t xml:space="preserve">. </w:t>
            </w:r>
          </w:p>
          <w:p w14:paraId="123E7B9B" w14:textId="77777777" w:rsidR="002B7CA4" w:rsidRPr="004968EE" w:rsidRDefault="002B7CA4" w:rsidP="002B7CA4">
            <w:pPr>
              <w:ind w:left="164" w:right="312"/>
              <w:jc w:val="both"/>
              <w:rPr>
                <w:rFonts w:eastAsia="Times New Roman"/>
                <w:color w:val="auto"/>
                <w:sz w:val="20"/>
                <w:szCs w:val="20"/>
                <w:u w:val="none"/>
                <w:lang w:eastAsia="it-IT"/>
              </w:rPr>
            </w:pPr>
            <w:r w:rsidRPr="004968EE">
              <w:rPr>
                <w:rFonts w:eastAsia="Times New Roman"/>
                <w:color w:val="auto"/>
                <w:sz w:val="20"/>
                <w:szCs w:val="20"/>
                <w:u w:val="none"/>
                <w:lang w:eastAsia="it-IT"/>
              </w:rPr>
              <w:t>Le comunicazioni inerenti alla cessazione dell’attività devono essere comunicate, entro sette giorni dall’evento.</w:t>
            </w:r>
          </w:p>
          <w:p w14:paraId="0218B630" w14:textId="77777777" w:rsidR="002B7CA4" w:rsidRDefault="002B7CA4" w:rsidP="002B7CA4">
            <w:pPr>
              <w:ind w:left="164" w:right="312"/>
              <w:jc w:val="both"/>
              <w:rPr>
                <w:b/>
                <w:bCs/>
                <w:color w:val="C00000"/>
                <w:u w:val="none"/>
              </w:rPr>
            </w:pPr>
          </w:p>
          <w:p w14:paraId="48632E82" w14:textId="3856229B" w:rsidR="008755CA" w:rsidRDefault="00C87870" w:rsidP="008755CA">
            <w:pPr>
              <w:ind w:left="164" w:right="312"/>
              <w:jc w:val="both"/>
              <w:rPr>
                <w:rFonts w:eastAsia="Times New Roman"/>
                <w:b/>
                <w:bCs/>
                <w:iCs/>
                <w:color w:val="0000FF"/>
                <w:sz w:val="24"/>
                <w:szCs w:val="24"/>
                <w:lang w:eastAsia="it-IT"/>
              </w:rPr>
            </w:pPr>
            <w:hyperlink r:id="rId12" w:history="1">
              <w:r w:rsidR="008755CA">
                <w:rPr>
                  <w:rStyle w:val="Collegamentoipertestuale"/>
                  <w:b/>
                  <w:bCs/>
                </w:rPr>
                <w:t>Alleg</w:t>
              </w:r>
              <w:r w:rsidR="008755CA">
                <w:rPr>
                  <w:rStyle w:val="Collegamentoipertestuale"/>
                  <w:b/>
                  <w:bCs/>
                </w:rPr>
                <w:t>a</w:t>
              </w:r>
              <w:r w:rsidR="008755CA">
                <w:rPr>
                  <w:rStyle w:val="Collegamentoipertestuale"/>
                  <w:b/>
                  <w:bCs/>
                </w:rPr>
                <w:t>ti</w:t>
              </w:r>
            </w:hyperlink>
            <w:r w:rsidR="008755CA">
              <w:rPr>
                <w:rStyle w:val="Collegamentoipertestuale"/>
                <w:b/>
                <w:bCs/>
                <w:color w:val="C00000"/>
                <w:u w:val="none"/>
              </w:rPr>
              <w:t xml:space="preserve"> </w:t>
            </w:r>
            <w:r w:rsidR="008755CA">
              <w:rPr>
                <w:rStyle w:val="Collegamentoipertestuale"/>
                <w:sz w:val="20"/>
                <w:szCs w:val="20"/>
                <w:u w:val="none"/>
              </w:rPr>
              <w:t xml:space="preserve">- </w:t>
            </w:r>
            <w:r w:rsidR="008755CA">
              <w:rPr>
                <w:rStyle w:val="Collegamentoipertestuale"/>
                <w:bCs/>
                <w:color w:val="auto"/>
                <w:sz w:val="20"/>
                <w:szCs w:val="20"/>
                <w:u w:val="none"/>
              </w:rPr>
              <w:t>Si riporta l’elenco di allegati da aggiungere alla SCIA Unica e altri correlati alla Pubblicità, Occupazione suolo pubblico, TARI.</w:t>
            </w:r>
          </w:p>
          <w:p w14:paraId="151D44A1" w14:textId="77777777" w:rsidR="002B7CA4" w:rsidRDefault="002B7CA4" w:rsidP="002B7CA4">
            <w:pPr>
              <w:ind w:left="164" w:right="312"/>
              <w:jc w:val="both"/>
              <w:rPr>
                <w:rStyle w:val="Collegamentoipertestuale"/>
              </w:rPr>
            </w:pPr>
          </w:p>
          <w:p w14:paraId="2F0DC42E" w14:textId="32DAC8A4" w:rsidR="00B738CE" w:rsidRDefault="00C87870" w:rsidP="00B738CE">
            <w:pPr>
              <w:spacing w:after="120"/>
              <w:ind w:left="164" w:right="312"/>
              <w:jc w:val="both"/>
              <w:rPr>
                <w:rStyle w:val="Collegamentoipertestuale"/>
                <w:b/>
                <w:bCs/>
              </w:rPr>
            </w:pPr>
            <w:hyperlink r:id="rId13" w:history="1">
              <w:r w:rsidR="00B738CE">
                <w:rPr>
                  <w:rStyle w:val="Collegamentoipertestuale"/>
                  <w:b/>
                  <w:bCs/>
                </w:rPr>
                <w:t>O</w:t>
              </w:r>
              <w:r w:rsidR="00B738CE">
                <w:rPr>
                  <w:rStyle w:val="Collegamentoipertestuale"/>
                  <w:b/>
                </w:rPr>
                <w:t xml:space="preserve">neri </w:t>
              </w:r>
              <w:r w:rsidR="00B738CE">
                <w:rPr>
                  <w:rStyle w:val="Collegamentoipertestuale"/>
                  <w:b/>
                  <w:bCs/>
                </w:rPr>
                <w:t>ist</w:t>
              </w:r>
              <w:r w:rsidR="00B738CE">
                <w:rPr>
                  <w:rStyle w:val="Collegamentoipertestuale"/>
                  <w:b/>
                  <w:bCs/>
                </w:rPr>
                <w:t>r</w:t>
              </w:r>
              <w:r w:rsidR="00B738CE">
                <w:rPr>
                  <w:rStyle w:val="Collegamentoipertestuale"/>
                  <w:b/>
                  <w:bCs/>
                </w:rPr>
                <w:t>uttori</w:t>
              </w:r>
            </w:hyperlink>
          </w:p>
          <w:p w14:paraId="3E2BE18B" w14:textId="77777777" w:rsidR="00B738CE" w:rsidRPr="00B738CE" w:rsidRDefault="00B738CE" w:rsidP="00B738CE">
            <w:pPr>
              <w:autoSpaceDE w:val="0"/>
              <w:autoSpaceDN w:val="0"/>
              <w:adjustRightInd w:val="0"/>
              <w:ind w:left="164" w:right="312"/>
              <w:jc w:val="both"/>
              <w:rPr>
                <w:rFonts w:eastAsia="Times New Roman"/>
                <w:color w:val="auto"/>
                <w:sz w:val="20"/>
                <w:szCs w:val="20"/>
                <w:u w:val="none"/>
                <w:lang w:eastAsia="it-IT"/>
              </w:rPr>
            </w:pPr>
            <w:r w:rsidRPr="00B738CE">
              <w:rPr>
                <w:rFonts w:eastAsia="Times New Roman"/>
                <w:b/>
                <w:color w:val="FF0000"/>
                <w:sz w:val="20"/>
                <w:szCs w:val="20"/>
                <w:u w:val="none"/>
                <w:lang w:eastAsia="it-IT"/>
              </w:rPr>
              <w:t>Il mancato versamento degli oneri istruttori rende irricevibile la SCIA o istanza inoltrata.</w:t>
            </w:r>
          </w:p>
          <w:p w14:paraId="2E688DBC" w14:textId="77777777" w:rsidR="002B7CA4" w:rsidRDefault="002B7CA4" w:rsidP="002B7CA4">
            <w:pPr>
              <w:ind w:left="164" w:right="312"/>
              <w:jc w:val="both"/>
              <w:rPr>
                <w:rStyle w:val="Collegamentoipertestuale"/>
                <w:b/>
                <w:bCs/>
                <w:sz w:val="24"/>
                <w:szCs w:val="24"/>
              </w:rPr>
            </w:pPr>
          </w:p>
          <w:p w14:paraId="72D592DE" w14:textId="15008255" w:rsidR="002B7CA4" w:rsidRDefault="00C87870" w:rsidP="002B7CA4">
            <w:pPr>
              <w:pStyle w:val="Paragrafoelenco"/>
              <w:spacing w:after="120"/>
              <w:ind w:left="164"/>
            </w:pPr>
            <w:hyperlink r:id="rId14" w:history="1">
              <w:r w:rsidR="00717949">
                <w:rPr>
                  <w:rStyle w:val="Collegamentoipertestuale"/>
                  <w:b/>
                </w:rPr>
                <w:t>Tempist</w:t>
              </w:r>
              <w:r w:rsidR="00717949">
                <w:rPr>
                  <w:rStyle w:val="Collegamentoipertestuale"/>
                  <w:b/>
                </w:rPr>
                <w:t>i</w:t>
              </w:r>
              <w:r w:rsidR="00717949">
                <w:rPr>
                  <w:rStyle w:val="Collegamentoipertestuale"/>
                  <w:b/>
                </w:rPr>
                <w:t>ca</w:t>
              </w:r>
            </w:hyperlink>
          </w:p>
          <w:p w14:paraId="7C6B9A64" w14:textId="77777777" w:rsidR="002B7CA4" w:rsidRDefault="002B7CA4" w:rsidP="002B7CA4">
            <w:pPr>
              <w:pStyle w:val="Rientrocorpodeltesto"/>
              <w:tabs>
                <w:tab w:val="left" w:pos="3150"/>
              </w:tabs>
              <w:spacing w:after="0"/>
              <w:ind w:left="0"/>
              <w:jc w:val="both"/>
              <w:rPr>
                <w:rStyle w:val="Collegamentoipertestuale"/>
                <w:b/>
                <w:color w:val="C00000"/>
                <w:sz w:val="24"/>
                <w:szCs w:val="24"/>
                <w:u w:val="none"/>
              </w:rPr>
            </w:pPr>
            <w:r>
              <w:rPr>
                <w:rStyle w:val="Collegamentoipertestuale"/>
                <w:b/>
                <w:color w:val="C00000"/>
                <w:sz w:val="24"/>
                <w:szCs w:val="24"/>
                <w:u w:val="none"/>
              </w:rPr>
              <w:tab/>
            </w:r>
          </w:p>
          <w:p w14:paraId="21074776" w14:textId="28466EFC" w:rsidR="002B7CA4" w:rsidRPr="004968EE" w:rsidRDefault="00C87870" w:rsidP="002B7CA4">
            <w:pPr>
              <w:ind w:left="164" w:right="312"/>
              <w:jc w:val="both"/>
              <w:rPr>
                <w:rFonts w:eastAsia="Times New Roman"/>
                <w:bCs/>
                <w:iCs/>
                <w:color w:val="0000FF"/>
                <w:sz w:val="22"/>
                <w:szCs w:val="22"/>
                <w:u w:val="none"/>
                <w:lang w:eastAsia="it-IT"/>
              </w:rPr>
            </w:pPr>
            <w:hyperlink r:id="rId15" w:history="1">
              <w:r w:rsidR="002B7CA4" w:rsidRPr="004968EE">
                <w:rPr>
                  <w:rStyle w:val="Collegamentoipertestuale"/>
                  <w:rFonts w:eastAsia="Times New Roman"/>
                  <w:b/>
                  <w:bCs/>
                  <w:iCs/>
                  <w:lang w:eastAsia="it-IT"/>
                </w:rPr>
                <w:t>Codici A</w:t>
              </w:r>
              <w:r w:rsidR="002B7CA4" w:rsidRPr="004968EE">
                <w:rPr>
                  <w:rStyle w:val="Collegamentoipertestuale"/>
                  <w:rFonts w:eastAsia="Times New Roman"/>
                  <w:b/>
                  <w:bCs/>
                  <w:iCs/>
                  <w:lang w:eastAsia="it-IT"/>
                </w:rPr>
                <w:t>T</w:t>
              </w:r>
              <w:r w:rsidR="002B7CA4" w:rsidRPr="004968EE">
                <w:rPr>
                  <w:rStyle w:val="Collegamentoipertestuale"/>
                  <w:rFonts w:eastAsia="Times New Roman"/>
                  <w:b/>
                  <w:bCs/>
                  <w:iCs/>
                  <w:lang w:eastAsia="it-IT"/>
                </w:rPr>
                <w:t>ECO</w:t>
              </w:r>
              <w:r w:rsidR="002B7CA4" w:rsidRPr="004968EE">
                <w:rPr>
                  <w:rStyle w:val="Collegamentoipertestuale"/>
                  <w:rFonts w:eastAsia="Times New Roman"/>
                  <w:b/>
                  <w:bCs/>
                  <w:iCs/>
                  <w:u w:val="none"/>
                  <w:lang w:eastAsia="it-IT"/>
                </w:rPr>
                <w:t xml:space="preserve"> </w:t>
              </w:r>
            </w:hyperlink>
            <w:r w:rsidR="002B7CA4" w:rsidRPr="004968EE">
              <w:rPr>
                <w:rFonts w:eastAsia="Times New Roman"/>
                <w:b/>
                <w:bCs/>
                <w:iCs/>
                <w:color w:val="0000FF"/>
                <w:u w:val="none"/>
                <w:lang w:eastAsia="it-IT"/>
              </w:rPr>
              <w:t xml:space="preserve"> </w:t>
            </w:r>
            <w:r w:rsidR="002B7CA4" w:rsidRPr="004968EE">
              <w:rPr>
                <w:rFonts w:eastAsia="Times New Roman"/>
                <w:b/>
                <w:bCs/>
                <w:iCs/>
                <w:color w:val="auto"/>
                <w:sz w:val="20"/>
                <w:szCs w:val="20"/>
                <w:u w:val="none"/>
                <w:lang w:eastAsia="it-IT"/>
              </w:rPr>
              <w:t>(vedi commercio da 45 a 47 compreso)</w:t>
            </w:r>
          </w:p>
          <w:p w14:paraId="2F4D2CE5" w14:textId="77777777" w:rsidR="002B7CA4" w:rsidRDefault="002B7CA4" w:rsidP="002B7CA4">
            <w:pPr>
              <w:pStyle w:val="Rientrocorpodeltesto"/>
              <w:tabs>
                <w:tab w:val="left" w:pos="3150"/>
              </w:tabs>
              <w:spacing w:after="0"/>
              <w:ind w:left="0"/>
              <w:jc w:val="both"/>
              <w:rPr>
                <w:rStyle w:val="Collegamentoipertestuale"/>
                <w:color w:val="C00000"/>
                <w:sz w:val="24"/>
                <w:szCs w:val="24"/>
                <w:u w:val="none"/>
              </w:rPr>
            </w:pPr>
          </w:p>
          <w:p w14:paraId="6AE8A39F" w14:textId="2F4481E2" w:rsidR="002B7CA4" w:rsidRDefault="00C87870" w:rsidP="002B7CA4">
            <w:pPr>
              <w:pStyle w:val="Paragrafoelenco"/>
              <w:spacing w:after="120"/>
              <w:ind w:left="164" w:right="312"/>
              <w:jc w:val="both"/>
              <w:rPr>
                <w:rStyle w:val="Collegamentoipertestuale"/>
                <w:b/>
                <w:color w:val="C00000"/>
                <w:sz w:val="24"/>
                <w:szCs w:val="24"/>
                <w:u w:val="none"/>
              </w:rPr>
            </w:pPr>
            <w:hyperlink r:id="rId16" w:history="1">
              <w:r w:rsidR="002B7CA4">
                <w:rPr>
                  <w:rStyle w:val="Collegamentoipertestuale"/>
                  <w:b/>
                  <w:color w:val="C00000"/>
                  <w:u w:val="none"/>
                </w:rPr>
                <w:t>Normativa di riferimento</w:t>
              </w:r>
            </w:hyperlink>
            <w:r w:rsidR="002B7CA4">
              <w:rPr>
                <w:rStyle w:val="Collegamentoipertestuale"/>
                <w:b/>
                <w:color w:val="C00000"/>
                <w:u w:val="none"/>
              </w:rPr>
              <w:t xml:space="preserve">: </w:t>
            </w:r>
            <w:r w:rsidR="002B7CA4">
              <w:rPr>
                <w:rStyle w:val="Collegamentoipertestuale"/>
                <w:b/>
                <w:color w:val="C00000"/>
                <w:sz w:val="24"/>
                <w:szCs w:val="24"/>
                <w:u w:val="none"/>
              </w:rPr>
              <w:t xml:space="preserve">  </w:t>
            </w:r>
            <w:r w:rsidR="00973E76">
              <w:rPr>
                <w:rStyle w:val="Collegamentoipertestuale"/>
                <w:b/>
                <w:color w:val="C00000"/>
                <w:u w:val="none"/>
              </w:rPr>
              <w:t xml:space="preserve">: </w:t>
            </w:r>
            <w:r w:rsidR="00973E76">
              <w:rPr>
                <w:rStyle w:val="Collegamentoipertestuale"/>
                <w:b/>
                <w:color w:val="C00000"/>
                <w:sz w:val="24"/>
                <w:szCs w:val="24"/>
                <w:u w:val="none"/>
              </w:rPr>
              <w:t xml:space="preserve">  </w:t>
            </w:r>
            <w:hyperlink r:id="rId17" w:history="1">
              <w:r w:rsidR="00973E76">
                <w:rPr>
                  <w:rStyle w:val="Collegamentoipertestuale"/>
                  <w:b/>
                  <w:sz w:val="20"/>
                  <w:szCs w:val="20"/>
                </w:rPr>
                <w:t>TUR p</w:t>
              </w:r>
              <w:r w:rsidR="00973E76">
                <w:rPr>
                  <w:rStyle w:val="Collegamentoipertestuale"/>
                  <w:b/>
                  <w:sz w:val="20"/>
                  <w:szCs w:val="20"/>
                </w:rPr>
                <w:t>a</w:t>
              </w:r>
              <w:r w:rsidR="00973E76">
                <w:rPr>
                  <w:rStyle w:val="Collegamentoipertestuale"/>
                  <w:b/>
                  <w:sz w:val="20"/>
                  <w:szCs w:val="20"/>
                </w:rPr>
                <w:t>rte 2^</w:t>
              </w:r>
            </w:hyperlink>
            <w:r w:rsidR="00973E76">
              <w:rPr>
                <w:b/>
                <w:sz w:val="20"/>
                <w:szCs w:val="20"/>
              </w:rPr>
              <w:t xml:space="preserve"> </w:t>
            </w:r>
            <w:r w:rsidR="00261CF6" w:rsidRPr="00621DF0">
              <w:rPr>
                <w:color w:val="auto"/>
                <w:sz w:val="20"/>
                <w:szCs w:val="20"/>
                <w:u w:val="none"/>
              </w:rPr>
              <w:t>- Commercio in sede fissa.</w:t>
            </w:r>
          </w:p>
          <w:p w14:paraId="62FB82B8" w14:textId="12593AC3" w:rsidR="00276654" w:rsidRPr="0041512A" w:rsidRDefault="00276654" w:rsidP="002B7CA4">
            <w:pPr>
              <w:pStyle w:val="Rientrocorpodeltesto"/>
              <w:spacing w:after="0"/>
              <w:ind w:left="164"/>
              <w:jc w:val="both"/>
              <w:rPr>
                <w:b/>
                <w:sz w:val="24"/>
                <w:szCs w:val="24"/>
                <w:u w:val="none"/>
              </w:rPr>
            </w:pPr>
          </w:p>
        </w:tc>
      </w:tr>
    </w:tbl>
    <w:p w14:paraId="618FE85C"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 w15:restartNumberingAfterBreak="0">
    <w:nsid w:val="31816851"/>
    <w:multiLevelType w:val="hybridMultilevel"/>
    <w:tmpl w:val="8EB431AA"/>
    <w:lvl w:ilvl="0" w:tplc="0410000F">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3" w15:restartNumberingAfterBreak="0">
    <w:nsid w:val="47DB694A"/>
    <w:multiLevelType w:val="hybridMultilevel"/>
    <w:tmpl w:val="1004DF9E"/>
    <w:lvl w:ilvl="0" w:tplc="62F25932">
      <w:start w:val="1"/>
      <w:numFmt w:val="decimal"/>
      <w:lvlText w:val="%1."/>
      <w:lvlJc w:val="left"/>
      <w:pPr>
        <w:ind w:left="720" w:hanging="360"/>
      </w:pPr>
      <w:rPr>
        <w:i w:val="0"/>
        <w:iCs w:val="0"/>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5A3375"/>
    <w:multiLevelType w:val="hybridMultilevel"/>
    <w:tmpl w:val="A4B2E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num w:numId="1">
    <w:abstractNumId w:val="6"/>
  </w:num>
  <w:num w:numId="2">
    <w:abstractNumId w:val="5"/>
  </w:num>
  <w:num w:numId="3">
    <w:abstractNumId w:val="2"/>
  </w:num>
  <w:num w:numId="4">
    <w:abstractNumId w:val="8"/>
  </w:num>
  <w:num w:numId="5">
    <w:abstractNumId w:val="0"/>
  </w:num>
  <w:num w:numId="6">
    <w:abstractNumId w:val="7"/>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419A3"/>
    <w:rsid w:val="000A58F6"/>
    <w:rsid w:val="000E4B7E"/>
    <w:rsid w:val="000F0124"/>
    <w:rsid w:val="00100D06"/>
    <w:rsid w:val="00112873"/>
    <w:rsid w:val="00117F1E"/>
    <w:rsid w:val="00142EEA"/>
    <w:rsid w:val="001736F1"/>
    <w:rsid w:val="00181F72"/>
    <w:rsid w:val="001B6DA0"/>
    <w:rsid w:val="002210DE"/>
    <w:rsid w:val="0023487B"/>
    <w:rsid w:val="00261CF6"/>
    <w:rsid w:val="00262836"/>
    <w:rsid w:val="00276654"/>
    <w:rsid w:val="002A5D7C"/>
    <w:rsid w:val="002A6285"/>
    <w:rsid w:val="002B375D"/>
    <w:rsid w:val="002B5A41"/>
    <w:rsid w:val="002B7CA4"/>
    <w:rsid w:val="00342D58"/>
    <w:rsid w:val="003A4A32"/>
    <w:rsid w:val="003C5FBA"/>
    <w:rsid w:val="0041512A"/>
    <w:rsid w:val="004257E1"/>
    <w:rsid w:val="0044342C"/>
    <w:rsid w:val="0045341A"/>
    <w:rsid w:val="004704B5"/>
    <w:rsid w:val="00493BD0"/>
    <w:rsid w:val="004B0137"/>
    <w:rsid w:val="004F3CF0"/>
    <w:rsid w:val="004F4CDD"/>
    <w:rsid w:val="004F59C5"/>
    <w:rsid w:val="00506E58"/>
    <w:rsid w:val="005930C1"/>
    <w:rsid w:val="005C68B2"/>
    <w:rsid w:val="005C720B"/>
    <w:rsid w:val="00621A5C"/>
    <w:rsid w:val="00651378"/>
    <w:rsid w:val="00692827"/>
    <w:rsid w:val="006B29D2"/>
    <w:rsid w:val="006B3A13"/>
    <w:rsid w:val="006C7151"/>
    <w:rsid w:val="00717949"/>
    <w:rsid w:val="00737DA2"/>
    <w:rsid w:val="00746376"/>
    <w:rsid w:val="007873AC"/>
    <w:rsid w:val="0082478D"/>
    <w:rsid w:val="0084570F"/>
    <w:rsid w:val="008755CA"/>
    <w:rsid w:val="00897F79"/>
    <w:rsid w:val="009371F3"/>
    <w:rsid w:val="00945B26"/>
    <w:rsid w:val="00973E76"/>
    <w:rsid w:val="009A4645"/>
    <w:rsid w:val="00A06B50"/>
    <w:rsid w:val="00A17407"/>
    <w:rsid w:val="00A91FD5"/>
    <w:rsid w:val="00AC7561"/>
    <w:rsid w:val="00B0731C"/>
    <w:rsid w:val="00B66F7C"/>
    <w:rsid w:val="00B738CE"/>
    <w:rsid w:val="00BF42AE"/>
    <w:rsid w:val="00C75D34"/>
    <w:rsid w:val="00C87870"/>
    <w:rsid w:val="00CD592E"/>
    <w:rsid w:val="00D16B5E"/>
    <w:rsid w:val="00DC5DC3"/>
    <w:rsid w:val="00DF0435"/>
    <w:rsid w:val="00E25843"/>
    <w:rsid w:val="00E43DC2"/>
    <w:rsid w:val="00E660BB"/>
    <w:rsid w:val="00ED3E3B"/>
    <w:rsid w:val="00EE371A"/>
    <w:rsid w:val="00F312D0"/>
    <w:rsid w:val="00F33807"/>
    <w:rsid w:val="00F33A15"/>
    <w:rsid w:val="00F67151"/>
    <w:rsid w:val="00FC2AA0"/>
    <w:rsid w:val="00FE29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A1AA"/>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paragraph" w:customStyle="1" w:styleId="ui-treenode-label1">
    <w:name w:val="ui-treenode-label1"/>
    <w:basedOn w:val="Normale"/>
    <w:rsid w:val="00A17407"/>
    <w:pPr>
      <w:spacing w:before="100" w:beforeAutospacing="1" w:after="100" w:afterAutospacing="1" w:line="240" w:lineRule="auto"/>
    </w:pPr>
    <w:rPr>
      <w:rFonts w:ascii="Times New Roman" w:eastAsia="Times New Roman" w:hAnsi="Times New Roman" w:cs="Times New Roman"/>
      <w:color w:val="666666"/>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37280">
      <w:bodyDiv w:val="1"/>
      <w:marLeft w:val="0"/>
      <w:marRight w:val="0"/>
      <w:marTop w:val="0"/>
      <w:marBottom w:val="0"/>
      <w:divBdr>
        <w:top w:val="none" w:sz="0" w:space="0" w:color="auto"/>
        <w:left w:val="none" w:sz="0" w:space="0" w:color="auto"/>
        <w:bottom w:val="none" w:sz="0" w:space="0" w:color="auto"/>
        <w:right w:val="none" w:sz="0" w:space="0" w:color="auto"/>
      </w:divBdr>
    </w:div>
    <w:div w:id="19360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esainungiorno.gov.it/web/guest/comune?codCatastale=B137" TargetMode="External"/><Relationship Id="rId13" Type="http://schemas.openxmlformats.org/officeDocument/2006/relationships/hyperlink" Target="Definizioni/20%20CF%20Tariffe%20commercio%20fisso.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odulistica%20univoca/MU2%20Parere%20preventivo%20per.pdf" TargetMode="External"/><Relationship Id="rId12" Type="http://schemas.openxmlformats.org/officeDocument/2006/relationships/hyperlink" Target="Definizioni/14%20CF%20Allegati.docx" TargetMode="External"/><Relationship Id="rId17" Type="http://schemas.openxmlformats.org/officeDocument/2006/relationships/hyperlink" Target="file:///C:\Walter\sportello%20unico\Progetto%20PUC\TUR\Parte%202%5e.pdf" TargetMode="External"/><Relationship Id="rId2" Type="http://schemas.openxmlformats.org/officeDocument/2006/relationships/styles" Target="styles.xml"/><Relationship Id="rId16" Type="http://schemas.openxmlformats.org/officeDocument/2006/relationships/hyperlink" Target="file:///C:\Walter\sportello%20unico\Progetto%20PUC\PUC\5%20Procedimenti\Definizioni\Riferimenti%20normativi%20e%20di%20controllo.docx" TargetMode="External"/><Relationship Id="rId1" Type="http://schemas.openxmlformats.org/officeDocument/2006/relationships/numbering" Target="numbering.xml"/><Relationship Id="rId6" Type="http://schemas.openxmlformats.org/officeDocument/2006/relationships/hyperlink" Target="CF03%20Media%20struttura%20di%20vendita.docx" TargetMode="External"/><Relationship Id="rId11" Type="http://schemas.openxmlformats.org/officeDocument/2006/relationships/hyperlink" Target="file:///C:\S.STEFANO%20TICINO\3%20Procedimenti\2%20Settore%20Commercio%20fisso\Definizioni\Subingresso%20e%20sospensione%20attivit&#224;.pdf" TargetMode="External"/><Relationship Id="rId5" Type="http://schemas.openxmlformats.org/officeDocument/2006/relationships/hyperlink" Target="file:///C:\Walter\Comuni\Valgreghentino\Progetto%20PUC\CONTATTI\CONTATTI_LC.docx" TargetMode="External"/><Relationship Id="rId15" Type="http://schemas.openxmlformats.org/officeDocument/2006/relationships/hyperlink" Target="../../ATECO/Ateco%20Commercio.xlsx" TargetMode="External"/><Relationship Id="rId10" Type="http://schemas.openxmlformats.org/officeDocument/2006/relationships/hyperlink" Target="Modulistica/7CF%20Comunicazione%20avvio%20MSV%20o%20GSV.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mpresainungiorno.gov.it/comune?codCatastale=L581" TargetMode="External"/><Relationship Id="rId14" Type="http://schemas.openxmlformats.org/officeDocument/2006/relationships/hyperlink" Target="Definizioni/19%20CF%20Tempistic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1316</Words>
  <Characters>7507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45</cp:revision>
  <dcterms:created xsi:type="dcterms:W3CDTF">2018-07-22T09:28:00Z</dcterms:created>
  <dcterms:modified xsi:type="dcterms:W3CDTF">2021-04-24T15:02:00Z</dcterms:modified>
</cp:coreProperties>
</file>